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F4DD3F" w14:textId="77EDD3D5" w:rsidR="00871936" w:rsidRPr="00DD3961" w:rsidRDefault="00871936" w:rsidP="00871936">
      <w:pPr>
        <w:spacing w:after="0" w:line="240" w:lineRule="auto"/>
        <w:jc w:val="both"/>
        <w:rPr>
          <w:lang w:val="es-PA"/>
        </w:rPr>
      </w:pPr>
      <w:bookmarkStart w:id="0" w:name="_Toc4752075"/>
      <w:bookmarkStart w:id="1" w:name="_GoBack"/>
      <w:bookmarkEnd w:id="1"/>
      <w:r w:rsidRPr="00DD3961">
        <w:rPr>
          <w:lang w:val="es-PA"/>
        </w:rPr>
        <w:t>PIMS 5753 IW COL ECU Mira Mataje</w:t>
      </w:r>
    </w:p>
    <w:p w14:paraId="0ADE8D33" w14:textId="7DA7144B" w:rsidR="00871936" w:rsidRPr="00967C9B" w:rsidRDefault="00871936" w:rsidP="007C5D33">
      <w:pPr>
        <w:spacing w:after="0" w:line="240" w:lineRule="auto"/>
        <w:jc w:val="both"/>
      </w:pPr>
      <w:r w:rsidRPr="00967C9B">
        <w:t>Annex 07. Gend</w:t>
      </w:r>
      <w:bookmarkEnd w:id="0"/>
      <w:r w:rsidR="002D5720" w:rsidRPr="00967C9B">
        <w:t xml:space="preserve">er </w:t>
      </w:r>
      <w:r w:rsidR="00DD3961">
        <w:t>Analysis and Action Plan</w:t>
      </w:r>
    </w:p>
    <w:p w14:paraId="16DB913B" w14:textId="77777777" w:rsidR="00871936" w:rsidRPr="00967C9B" w:rsidRDefault="00871936" w:rsidP="00871936">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Preparation of the Project Document - </w:t>
      </w:r>
      <w:r w:rsidRPr="00967C9B">
        <w:rPr>
          <w:rFonts w:cs="Arial"/>
          <w:b/>
        </w:rPr>
        <w:t xml:space="preserve">Integrated Management of Water Resources of the Mira, </w:t>
      </w:r>
      <w:proofErr w:type="spellStart"/>
      <w:r w:rsidRPr="00967C9B">
        <w:rPr>
          <w:rFonts w:cs="Arial"/>
          <w:b/>
        </w:rPr>
        <w:t>Mataje</w:t>
      </w:r>
      <w:proofErr w:type="spellEnd"/>
      <w:r w:rsidRPr="00967C9B">
        <w:rPr>
          <w:rFonts w:cs="Arial"/>
          <w:b/>
        </w:rPr>
        <w:t xml:space="preserve"> and Carchi-</w:t>
      </w:r>
      <w:proofErr w:type="spellStart"/>
      <w:r w:rsidRPr="00967C9B">
        <w:rPr>
          <w:rFonts w:cs="Arial"/>
          <w:b/>
        </w:rPr>
        <w:t>Guáitara</w:t>
      </w:r>
      <w:proofErr w:type="spellEnd"/>
      <w:r w:rsidRPr="00967C9B">
        <w:rPr>
          <w:rFonts w:cs="Arial"/>
          <w:b/>
        </w:rPr>
        <w:t>, Colombia – Ecuador Binational Basins</w:t>
      </w:r>
      <w:r w:rsidRPr="00967C9B" w:rsidDel="0022393C">
        <w:rPr>
          <w:rFonts w:ascii="Calibri" w:eastAsia="Times New Roman" w:hAnsi="Calibri" w:cs="Calibri"/>
          <w:color w:val="000000"/>
          <w:lang w:eastAsia="en-CA"/>
        </w:rPr>
        <w:t xml:space="preserve"> </w:t>
      </w:r>
    </w:p>
    <w:p w14:paraId="413DEE3B" w14:textId="0DC27C35" w:rsidR="00DD3961" w:rsidRDefault="00871936" w:rsidP="00DD3961">
      <w:pPr>
        <w:spacing w:after="0" w:line="240" w:lineRule="auto"/>
        <w:jc w:val="both"/>
        <w:rPr>
          <w:rFonts w:ascii="Times New Roman" w:eastAsia="Times New Roman" w:hAnsi="Times New Roman" w:cs="Times New Roman"/>
          <w:sz w:val="24"/>
          <w:szCs w:val="24"/>
          <w:lang w:eastAsia="en-CA"/>
        </w:rPr>
      </w:pPr>
      <w:r w:rsidRPr="00DD3961">
        <w:rPr>
          <w:rFonts w:ascii="Times New Roman" w:eastAsia="Times New Roman" w:hAnsi="Times New Roman" w:cs="Times New Roman"/>
          <w:sz w:val="24"/>
          <w:szCs w:val="24"/>
          <w:lang w:val="es-PA" w:eastAsia="en-CA"/>
        </w:rPr>
        <w:br/>
      </w:r>
    </w:p>
    <w:p w14:paraId="7FE92326" w14:textId="77777777" w:rsidR="00DD3961" w:rsidRDefault="00DD3961" w:rsidP="00DD3961">
      <w:pPr>
        <w:spacing w:after="0" w:line="240" w:lineRule="auto"/>
        <w:jc w:val="both"/>
        <w:rPr>
          <w:rFonts w:ascii="Calibri" w:eastAsia="Times New Roman" w:hAnsi="Calibri" w:cs="Calibri"/>
          <w:b/>
          <w:bCs/>
          <w:color w:val="000000"/>
          <w:sz w:val="28"/>
          <w:szCs w:val="28"/>
          <w:lang w:eastAsia="en-CA"/>
        </w:rPr>
      </w:pP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p>
    <w:p w14:paraId="2DF66137" w14:textId="77777777" w:rsidR="00DD3961" w:rsidRDefault="00DD3961" w:rsidP="00DD3961">
      <w:pPr>
        <w:spacing w:after="0" w:line="240" w:lineRule="auto"/>
        <w:jc w:val="both"/>
        <w:rPr>
          <w:rFonts w:ascii="Calibri" w:eastAsia="Times New Roman" w:hAnsi="Calibri" w:cs="Calibri"/>
          <w:b/>
          <w:bCs/>
          <w:color w:val="000000"/>
          <w:sz w:val="28"/>
          <w:szCs w:val="28"/>
          <w:lang w:eastAsia="en-CA"/>
        </w:rPr>
      </w:pPr>
      <w:r>
        <w:rPr>
          <w:rFonts w:ascii="Calibri" w:eastAsia="Times New Roman" w:hAnsi="Calibri" w:cs="Calibri"/>
          <w:b/>
          <w:bCs/>
          <w:color w:val="000000"/>
          <w:sz w:val="28"/>
          <w:szCs w:val="28"/>
          <w:lang w:eastAsia="en-CA"/>
        </w:rPr>
        <w:t xml:space="preserve">Gender Analysis </w:t>
      </w:r>
    </w:p>
    <w:p w14:paraId="5FFC50E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8"/>
          <w:szCs w:val="28"/>
          <w:lang w:eastAsia="en-CA"/>
        </w:rPr>
        <w:t xml:space="preserve">Situational analysis in the Mira, </w:t>
      </w:r>
      <w:proofErr w:type="spellStart"/>
      <w:r>
        <w:rPr>
          <w:rFonts w:ascii="Calibri" w:eastAsia="Times New Roman" w:hAnsi="Calibri" w:cs="Calibri"/>
          <w:b/>
          <w:bCs/>
          <w:color w:val="000000"/>
          <w:sz w:val="28"/>
          <w:szCs w:val="28"/>
          <w:lang w:eastAsia="en-CA"/>
        </w:rPr>
        <w:t>Mataje</w:t>
      </w:r>
      <w:proofErr w:type="spellEnd"/>
      <w:r>
        <w:rPr>
          <w:rFonts w:ascii="Calibri" w:eastAsia="Times New Roman" w:hAnsi="Calibri" w:cs="Calibri"/>
          <w:b/>
          <w:bCs/>
          <w:color w:val="000000"/>
          <w:sz w:val="28"/>
          <w:szCs w:val="28"/>
          <w:lang w:eastAsia="en-CA"/>
        </w:rPr>
        <w:t xml:space="preserve">, Carchi </w:t>
      </w:r>
      <w:proofErr w:type="spellStart"/>
      <w:r>
        <w:rPr>
          <w:rFonts w:ascii="Calibri" w:eastAsia="Times New Roman" w:hAnsi="Calibri" w:cs="Calibri"/>
          <w:b/>
          <w:bCs/>
          <w:color w:val="000000"/>
          <w:sz w:val="28"/>
          <w:szCs w:val="28"/>
          <w:lang w:eastAsia="en-CA"/>
        </w:rPr>
        <w:t>Guáitara</w:t>
      </w:r>
      <w:proofErr w:type="spellEnd"/>
      <w:r>
        <w:rPr>
          <w:rFonts w:ascii="Calibri" w:eastAsia="Times New Roman" w:hAnsi="Calibri" w:cs="Calibri"/>
          <w:b/>
          <w:bCs/>
          <w:color w:val="000000"/>
          <w:sz w:val="28"/>
          <w:szCs w:val="28"/>
          <w:lang w:eastAsia="en-CA"/>
        </w:rPr>
        <w:t xml:space="preserve"> basins </w:t>
      </w:r>
    </w:p>
    <w:p w14:paraId="6DB954AF" w14:textId="77777777" w:rsidR="00DD3961" w:rsidRDefault="00DD3961" w:rsidP="00DD3961">
      <w:pPr>
        <w:spacing w:after="240" w:line="240" w:lineRule="auto"/>
        <w:ind w:left="6372"/>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r>
        <w:rPr>
          <w:rFonts w:ascii="Times New Roman" w:eastAsia="Times New Roman" w:hAnsi="Times New Roman" w:cs="Times New Roman"/>
          <w:sz w:val="24"/>
          <w:szCs w:val="24"/>
          <w:lang w:eastAsia="en-CA"/>
        </w:rPr>
        <w:br/>
      </w:r>
    </w:p>
    <w:p w14:paraId="79F2AD70" w14:textId="77777777" w:rsidR="00DD3961" w:rsidRDefault="00DD3961" w:rsidP="00DD3961">
      <w:pPr>
        <w:spacing w:after="240" w:line="240" w:lineRule="auto"/>
        <w:ind w:left="6372"/>
        <w:rPr>
          <w:rFonts w:ascii="Times New Roman" w:eastAsia="Times New Roman" w:hAnsi="Times New Roman" w:cs="Times New Roman"/>
          <w:sz w:val="24"/>
          <w:szCs w:val="24"/>
          <w:lang w:eastAsia="en-CA"/>
        </w:rPr>
      </w:pPr>
    </w:p>
    <w:p w14:paraId="6DF4A93B" w14:textId="77777777" w:rsidR="00DD3961" w:rsidRDefault="00DD3961" w:rsidP="00DD3961">
      <w:pPr>
        <w:pStyle w:val="NoSpacing"/>
        <w:rPr>
          <w:rFonts w:ascii="Times New Roman" w:hAnsi="Times New Roman" w:cs="Times New Roman"/>
          <w:sz w:val="22"/>
          <w:szCs w:val="22"/>
          <w:lang w:val="en-GB"/>
        </w:rPr>
      </w:pPr>
      <w:r>
        <w:rPr>
          <w:sz w:val="22"/>
          <w:szCs w:val="22"/>
          <w:lang w:val="en-GB"/>
        </w:rPr>
        <w:t xml:space="preserve">Aracely </w:t>
      </w:r>
      <w:proofErr w:type="spellStart"/>
      <w:r>
        <w:rPr>
          <w:sz w:val="22"/>
          <w:szCs w:val="22"/>
          <w:lang w:val="en-GB"/>
        </w:rPr>
        <w:t>Pazmiño</w:t>
      </w:r>
      <w:proofErr w:type="spellEnd"/>
      <w:r>
        <w:rPr>
          <w:sz w:val="22"/>
          <w:szCs w:val="22"/>
          <w:lang w:val="en-GB"/>
        </w:rPr>
        <w:t xml:space="preserve"> Montero</w:t>
      </w:r>
    </w:p>
    <w:p w14:paraId="5E0D2CE6" w14:textId="77777777" w:rsidR="00DD3961" w:rsidRDefault="00DD3961" w:rsidP="00DD3961">
      <w:pPr>
        <w:pStyle w:val="NoSpacing"/>
        <w:rPr>
          <w:rFonts w:ascii="Times New Roman" w:hAnsi="Times New Roman" w:cs="Times New Roman"/>
          <w:sz w:val="22"/>
          <w:szCs w:val="22"/>
          <w:lang w:val="en-GB"/>
        </w:rPr>
      </w:pPr>
      <w:r>
        <w:rPr>
          <w:sz w:val="22"/>
          <w:szCs w:val="22"/>
          <w:lang w:val="en-GB"/>
        </w:rPr>
        <w:t xml:space="preserve">With contributions from Yina Pantoja </w:t>
      </w:r>
    </w:p>
    <w:p w14:paraId="3A80661F" w14:textId="77777777" w:rsidR="00DD3961" w:rsidRDefault="00DD3961" w:rsidP="00DD3961">
      <w:pPr>
        <w:pStyle w:val="NoSpacing"/>
        <w:rPr>
          <w:rFonts w:ascii="Times New Roman" w:hAnsi="Times New Roman" w:cs="Times New Roman"/>
          <w:sz w:val="22"/>
          <w:szCs w:val="22"/>
          <w:lang w:val="en-GB"/>
        </w:rPr>
      </w:pPr>
      <w:proofErr w:type="gramStart"/>
      <w:r>
        <w:rPr>
          <w:sz w:val="22"/>
          <w:szCs w:val="22"/>
          <w:lang w:val="en-GB"/>
        </w:rPr>
        <w:t>April,</w:t>
      </w:r>
      <w:proofErr w:type="gramEnd"/>
      <w:r>
        <w:rPr>
          <w:sz w:val="22"/>
          <w:szCs w:val="22"/>
          <w:lang w:val="en-GB"/>
        </w:rPr>
        <w:t xml:space="preserve"> 2019</w:t>
      </w:r>
    </w:p>
    <w:p w14:paraId="6ADA82AF"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7DC4098F" w14:textId="77777777" w:rsidR="00DD3961" w:rsidRDefault="00DD3961" w:rsidP="00DD3961">
      <w:pPr>
        <w:spacing w:after="0" w:line="240" w:lineRule="auto"/>
        <w:ind w:left="2832" w:firstLine="708"/>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4"/>
          <w:szCs w:val="24"/>
          <w:lang w:eastAsia="en-CA"/>
        </w:rPr>
        <w:lastRenderedPageBreak/>
        <w:t>TABLE OF CONTENTS</w:t>
      </w:r>
    </w:p>
    <w:p w14:paraId="2D4D168B" w14:textId="5B52CC63" w:rsidR="00DD3961" w:rsidRP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br/>
      </w:r>
    </w:p>
    <w:sdt>
      <w:sdtPr>
        <w:rPr>
          <w:b/>
          <w:bCs/>
        </w:rPr>
        <w:id w:val="-281411340"/>
        <w:docPartObj>
          <w:docPartGallery w:val="Table of Contents"/>
          <w:docPartUnique/>
        </w:docPartObj>
      </w:sdtPr>
      <w:sdtEndPr>
        <w:rPr>
          <w:b w:val="0"/>
          <w:bCs w:val="0"/>
        </w:rPr>
      </w:sdtEndPr>
      <w:sdtContent>
        <w:p w14:paraId="7EC76A05" w14:textId="69AD02B0" w:rsidR="00DD3961" w:rsidRDefault="00DD3961" w:rsidP="00DD3961">
          <w:pPr>
            <w:spacing w:after="240" w:line="240" w:lineRule="auto"/>
            <w:jc w:val="both"/>
            <w:rPr>
              <w:rFonts w:asciiTheme="majorHAnsi" w:eastAsiaTheme="majorEastAsia" w:hAnsiTheme="majorHAnsi" w:cstheme="majorBidi"/>
              <w:sz w:val="28"/>
              <w:szCs w:val="28"/>
              <w:lang w:eastAsia="es-ES"/>
            </w:rPr>
          </w:pPr>
        </w:p>
        <w:p w14:paraId="1C6C7E70" w14:textId="65D06072" w:rsidR="00DD3961" w:rsidRDefault="00DD3961">
          <w:pPr>
            <w:pStyle w:val="TOC1"/>
            <w:tabs>
              <w:tab w:val="right" w:leader="dot" w:pos="8828"/>
            </w:tabs>
            <w:rPr>
              <w:rFonts w:eastAsiaTheme="minorEastAsia"/>
              <w:b w:val="0"/>
              <w:noProof/>
              <w:sz w:val="22"/>
              <w:szCs w:val="22"/>
              <w:lang w:val="en-US"/>
            </w:rPr>
          </w:pPr>
          <w:r>
            <w:rPr>
              <w:b w:val="0"/>
            </w:rPr>
            <w:fldChar w:fldCharType="begin"/>
          </w:r>
          <w:r>
            <w:instrText>TOC \o "1-3" \h \z \u</w:instrText>
          </w:r>
          <w:r>
            <w:rPr>
              <w:b w:val="0"/>
            </w:rPr>
            <w:fldChar w:fldCharType="separate"/>
          </w:r>
          <w:hyperlink w:anchor="_Toc8644416" w:history="1">
            <w:r w:rsidRPr="00C840F2">
              <w:rPr>
                <w:rStyle w:val="Hyperlink"/>
                <w:noProof/>
              </w:rPr>
              <w:t>1. Background</w:t>
            </w:r>
            <w:r>
              <w:rPr>
                <w:noProof/>
                <w:webHidden/>
              </w:rPr>
              <w:tab/>
            </w:r>
            <w:r>
              <w:rPr>
                <w:noProof/>
                <w:webHidden/>
              </w:rPr>
              <w:fldChar w:fldCharType="begin"/>
            </w:r>
            <w:r>
              <w:rPr>
                <w:noProof/>
                <w:webHidden/>
              </w:rPr>
              <w:instrText xml:space="preserve"> PAGEREF _Toc8644416 \h </w:instrText>
            </w:r>
            <w:r>
              <w:rPr>
                <w:noProof/>
                <w:webHidden/>
              </w:rPr>
            </w:r>
            <w:r>
              <w:rPr>
                <w:noProof/>
                <w:webHidden/>
              </w:rPr>
              <w:fldChar w:fldCharType="separate"/>
            </w:r>
            <w:r>
              <w:rPr>
                <w:noProof/>
                <w:webHidden/>
              </w:rPr>
              <w:t>3</w:t>
            </w:r>
            <w:r>
              <w:rPr>
                <w:noProof/>
                <w:webHidden/>
              </w:rPr>
              <w:fldChar w:fldCharType="end"/>
            </w:r>
          </w:hyperlink>
        </w:p>
        <w:p w14:paraId="093B4FF4" w14:textId="69099074" w:rsidR="00DD3961" w:rsidRDefault="00A23F23">
          <w:pPr>
            <w:pStyle w:val="TOC1"/>
            <w:tabs>
              <w:tab w:val="right" w:leader="dot" w:pos="8828"/>
            </w:tabs>
            <w:rPr>
              <w:rFonts w:eastAsiaTheme="minorEastAsia"/>
              <w:b w:val="0"/>
              <w:noProof/>
              <w:sz w:val="22"/>
              <w:szCs w:val="22"/>
              <w:lang w:val="en-US"/>
            </w:rPr>
          </w:pPr>
          <w:hyperlink w:anchor="_Toc8644417" w:history="1">
            <w:r w:rsidR="00DD3961" w:rsidRPr="00C840F2">
              <w:rPr>
                <w:rStyle w:val="Hyperlink"/>
                <w:noProof/>
              </w:rPr>
              <w:t>2. Introduction</w:t>
            </w:r>
            <w:r w:rsidR="00DD3961">
              <w:rPr>
                <w:noProof/>
                <w:webHidden/>
              </w:rPr>
              <w:tab/>
            </w:r>
            <w:r w:rsidR="00DD3961">
              <w:rPr>
                <w:noProof/>
                <w:webHidden/>
              </w:rPr>
              <w:fldChar w:fldCharType="begin"/>
            </w:r>
            <w:r w:rsidR="00DD3961">
              <w:rPr>
                <w:noProof/>
                <w:webHidden/>
              </w:rPr>
              <w:instrText xml:space="preserve"> PAGEREF _Toc8644417 \h </w:instrText>
            </w:r>
            <w:r w:rsidR="00DD3961">
              <w:rPr>
                <w:noProof/>
                <w:webHidden/>
              </w:rPr>
            </w:r>
            <w:r w:rsidR="00DD3961">
              <w:rPr>
                <w:noProof/>
                <w:webHidden/>
              </w:rPr>
              <w:fldChar w:fldCharType="separate"/>
            </w:r>
            <w:r w:rsidR="00DD3961">
              <w:rPr>
                <w:noProof/>
                <w:webHidden/>
              </w:rPr>
              <w:t>4</w:t>
            </w:r>
            <w:r w:rsidR="00DD3961">
              <w:rPr>
                <w:noProof/>
                <w:webHidden/>
              </w:rPr>
              <w:fldChar w:fldCharType="end"/>
            </w:r>
          </w:hyperlink>
        </w:p>
        <w:p w14:paraId="4376FF22" w14:textId="69B2E720" w:rsidR="00DD3961" w:rsidRDefault="00A23F23">
          <w:pPr>
            <w:pStyle w:val="TOC1"/>
            <w:tabs>
              <w:tab w:val="right" w:leader="dot" w:pos="8828"/>
            </w:tabs>
            <w:rPr>
              <w:rFonts w:eastAsiaTheme="minorEastAsia"/>
              <w:b w:val="0"/>
              <w:noProof/>
              <w:sz w:val="22"/>
              <w:szCs w:val="22"/>
              <w:lang w:val="en-US"/>
            </w:rPr>
          </w:pPr>
          <w:hyperlink w:anchor="_Toc8644418" w:history="1">
            <w:r w:rsidR="00DD3961" w:rsidRPr="00C840F2">
              <w:rPr>
                <w:rStyle w:val="Hyperlink"/>
                <w:noProof/>
              </w:rPr>
              <w:t>3. Methodology</w:t>
            </w:r>
            <w:r w:rsidR="00DD3961">
              <w:rPr>
                <w:noProof/>
                <w:webHidden/>
              </w:rPr>
              <w:tab/>
            </w:r>
            <w:r w:rsidR="00DD3961">
              <w:rPr>
                <w:noProof/>
                <w:webHidden/>
              </w:rPr>
              <w:fldChar w:fldCharType="begin"/>
            </w:r>
            <w:r w:rsidR="00DD3961">
              <w:rPr>
                <w:noProof/>
                <w:webHidden/>
              </w:rPr>
              <w:instrText xml:space="preserve"> PAGEREF _Toc8644418 \h </w:instrText>
            </w:r>
            <w:r w:rsidR="00DD3961">
              <w:rPr>
                <w:noProof/>
                <w:webHidden/>
              </w:rPr>
            </w:r>
            <w:r w:rsidR="00DD3961">
              <w:rPr>
                <w:noProof/>
                <w:webHidden/>
              </w:rPr>
              <w:fldChar w:fldCharType="separate"/>
            </w:r>
            <w:r w:rsidR="00DD3961">
              <w:rPr>
                <w:noProof/>
                <w:webHidden/>
              </w:rPr>
              <w:t>4</w:t>
            </w:r>
            <w:r w:rsidR="00DD3961">
              <w:rPr>
                <w:noProof/>
                <w:webHidden/>
              </w:rPr>
              <w:fldChar w:fldCharType="end"/>
            </w:r>
          </w:hyperlink>
        </w:p>
        <w:p w14:paraId="47269DBB" w14:textId="22EB888F" w:rsidR="00DD3961" w:rsidRDefault="00A23F23">
          <w:pPr>
            <w:pStyle w:val="TOC2"/>
            <w:tabs>
              <w:tab w:val="right" w:leader="dot" w:pos="8828"/>
            </w:tabs>
            <w:rPr>
              <w:rFonts w:eastAsiaTheme="minorEastAsia"/>
              <w:b w:val="0"/>
              <w:noProof/>
              <w:lang w:val="en-US"/>
            </w:rPr>
          </w:pPr>
          <w:hyperlink w:anchor="_Toc8644419" w:history="1">
            <w:r w:rsidR="00DD3961" w:rsidRPr="00C840F2">
              <w:rPr>
                <w:rStyle w:val="Hyperlink"/>
                <w:rFonts w:ascii="Calibri" w:eastAsia="Times New Roman" w:hAnsi="Calibri" w:cs="Calibri"/>
                <w:bCs/>
                <w:noProof/>
                <w:lang w:eastAsia="en-CA"/>
              </w:rPr>
              <w:t>3.1. Conceptual approach used</w:t>
            </w:r>
            <w:r w:rsidR="00DD3961">
              <w:rPr>
                <w:noProof/>
                <w:webHidden/>
              </w:rPr>
              <w:tab/>
            </w:r>
            <w:r w:rsidR="00DD3961">
              <w:rPr>
                <w:noProof/>
                <w:webHidden/>
              </w:rPr>
              <w:fldChar w:fldCharType="begin"/>
            </w:r>
            <w:r w:rsidR="00DD3961">
              <w:rPr>
                <w:noProof/>
                <w:webHidden/>
              </w:rPr>
              <w:instrText xml:space="preserve"> PAGEREF _Toc8644419 \h </w:instrText>
            </w:r>
            <w:r w:rsidR="00DD3961">
              <w:rPr>
                <w:noProof/>
                <w:webHidden/>
              </w:rPr>
            </w:r>
            <w:r w:rsidR="00DD3961">
              <w:rPr>
                <w:noProof/>
                <w:webHidden/>
              </w:rPr>
              <w:fldChar w:fldCharType="separate"/>
            </w:r>
            <w:r w:rsidR="00DD3961">
              <w:rPr>
                <w:noProof/>
                <w:webHidden/>
              </w:rPr>
              <w:t>4</w:t>
            </w:r>
            <w:r w:rsidR="00DD3961">
              <w:rPr>
                <w:noProof/>
                <w:webHidden/>
              </w:rPr>
              <w:fldChar w:fldCharType="end"/>
            </w:r>
          </w:hyperlink>
        </w:p>
        <w:p w14:paraId="2F7DFBBB" w14:textId="1448EA05" w:rsidR="00DD3961" w:rsidRDefault="00A23F23">
          <w:pPr>
            <w:pStyle w:val="TOC2"/>
            <w:tabs>
              <w:tab w:val="right" w:leader="dot" w:pos="8828"/>
            </w:tabs>
            <w:rPr>
              <w:rFonts w:eastAsiaTheme="minorEastAsia"/>
              <w:b w:val="0"/>
              <w:noProof/>
              <w:lang w:val="en-US"/>
            </w:rPr>
          </w:pPr>
          <w:hyperlink w:anchor="_Toc8644420" w:history="1">
            <w:r w:rsidR="00DD3961" w:rsidRPr="00C840F2">
              <w:rPr>
                <w:rStyle w:val="Hyperlink"/>
                <w:rFonts w:ascii="Calibri" w:eastAsia="Times New Roman" w:hAnsi="Calibri" w:cs="Calibri"/>
                <w:bCs/>
                <w:noProof/>
                <w:lang w:eastAsia="en-CA"/>
              </w:rPr>
              <w:t>3.2. Analysis Methodology</w:t>
            </w:r>
            <w:r w:rsidR="00DD3961">
              <w:rPr>
                <w:noProof/>
                <w:webHidden/>
              </w:rPr>
              <w:tab/>
            </w:r>
            <w:r w:rsidR="00DD3961">
              <w:rPr>
                <w:noProof/>
                <w:webHidden/>
              </w:rPr>
              <w:fldChar w:fldCharType="begin"/>
            </w:r>
            <w:r w:rsidR="00DD3961">
              <w:rPr>
                <w:noProof/>
                <w:webHidden/>
              </w:rPr>
              <w:instrText xml:space="preserve"> PAGEREF _Toc8644420 \h </w:instrText>
            </w:r>
            <w:r w:rsidR="00DD3961">
              <w:rPr>
                <w:noProof/>
                <w:webHidden/>
              </w:rPr>
            </w:r>
            <w:r w:rsidR="00DD3961">
              <w:rPr>
                <w:noProof/>
                <w:webHidden/>
              </w:rPr>
              <w:fldChar w:fldCharType="separate"/>
            </w:r>
            <w:r w:rsidR="00DD3961">
              <w:rPr>
                <w:noProof/>
                <w:webHidden/>
              </w:rPr>
              <w:t>5</w:t>
            </w:r>
            <w:r w:rsidR="00DD3961">
              <w:rPr>
                <w:noProof/>
                <w:webHidden/>
              </w:rPr>
              <w:fldChar w:fldCharType="end"/>
            </w:r>
          </w:hyperlink>
        </w:p>
        <w:p w14:paraId="0F2F04E3" w14:textId="08CD844A" w:rsidR="00DD3961" w:rsidRDefault="00A23F23">
          <w:pPr>
            <w:pStyle w:val="TOC2"/>
            <w:tabs>
              <w:tab w:val="right" w:leader="dot" w:pos="8828"/>
            </w:tabs>
            <w:rPr>
              <w:rFonts w:eastAsiaTheme="minorEastAsia"/>
              <w:b w:val="0"/>
              <w:noProof/>
              <w:lang w:val="en-US"/>
            </w:rPr>
          </w:pPr>
          <w:hyperlink w:anchor="_Toc8644421" w:history="1">
            <w:r w:rsidR="00DD3961" w:rsidRPr="00C840F2">
              <w:rPr>
                <w:rStyle w:val="Hyperlink"/>
                <w:rFonts w:ascii="Calibri" w:eastAsia="Times New Roman" w:hAnsi="Calibri" w:cs="Calibri"/>
                <w:bCs/>
                <w:noProof/>
                <w:lang w:eastAsia="en-CA"/>
              </w:rPr>
              <w:t>3.3 Research tools</w:t>
            </w:r>
            <w:r w:rsidR="00DD3961">
              <w:rPr>
                <w:noProof/>
                <w:webHidden/>
              </w:rPr>
              <w:tab/>
            </w:r>
            <w:r w:rsidR="00DD3961">
              <w:rPr>
                <w:noProof/>
                <w:webHidden/>
              </w:rPr>
              <w:fldChar w:fldCharType="begin"/>
            </w:r>
            <w:r w:rsidR="00DD3961">
              <w:rPr>
                <w:noProof/>
                <w:webHidden/>
              </w:rPr>
              <w:instrText xml:space="preserve"> PAGEREF _Toc8644421 \h </w:instrText>
            </w:r>
            <w:r w:rsidR="00DD3961">
              <w:rPr>
                <w:noProof/>
                <w:webHidden/>
              </w:rPr>
            </w:r>
            <w:r w:rsidR="00DD3961">
              <w:rPr>
                <w:noProof/>
                <w:webHidden/>
              </w:rPr>
              <w:fldChar w:fldCharType="separate"/>
            </w:r>
            <w:r w:rsidR="00DD3961">
              <w:rPr>
                <w:noProof/>
                <w:webHidden/>
              </w:rPr>
              <w:t>7</w:t>
            </w:r>
            <w:r w:rsidR="00DD3961">
              <w:rPr>
                <w:noProof/>
                <w:webHidden/>
              </w:rPr>
              <w:fldChar w:fldCharType="end"/>
            </w:r>
          </w:hyperlink>
        </w:p>
        <w:p w14:paraId="19DB24AD" w14:textId="409F9B28" w:rsidR="00DD3961" w:rsidRDefault="00A23F23">
          <w:pPr>
            <w:pStyle w:val="TOC1"/>
            <w:tabs>
              <w:tab w:val="right" w:leader="dot" w:pos="8828"/>
            </w:tabs>
            <w:rPr>
              <w:rFonts w:eastAsiaTheme="minorEastAsia"/>
              <w:b w:val="0"/>
              <w:noProof/>
              <w:sz w:val="22"/>
              <w:szCs w:val="22"/>
              <w:lang w:val="en-US"/>
            </w:rPr>
          </w:pPr>
          <w:hyperlink w:anchor="_Toc8644422" w:history="1">
            <w:r w:rsidR="00DD3961" w:rsidRPr="00C840F2">
              <w:rPr>
                <w:rStyle w:val="Hyperlink"/>
                <w:noProof/>
              </w:rPr>
              <w:t>4. Introduction to gender analysis</w:t>
            </w:r>
            <w:r w:rsidR="00DD3961">
              <w:rPr>
                <w:noProof/>
                <w:webHidden/>
              </w:rPr>
              <w:tab/>
            </w:r>
            <w:r w:rsidR="00DD3961">
              <w:rPr>
                <w:noProof/>
                <w:webHidden/>
              </w:rPr>
              <w:fldChar w:fldCharType="begin"/>
            </w:r>
            <w:r w:rsidR="00DD3961">
              <w:rPr>
                <w:noProof/>
                <w:webHidden/>
              </w:rPr>
              <w:instrText xml:space="preserve"> PAGEREF _Toc8644422 \h </w:instrText>
            </w:r>
            <w:r w:rsidR="00DD3961">
              <w:rPr>
                <w:noProof/>
                <w:webHidden/>
              </w:rPr>
            </w:r>
            <w:r w:rsidR="00DD3961">
              <w:rPr>
                <w:noProof/>
                <w:webHidden/>
              </w:rPr>
              <w:fldChar w:fldCharType="separate"/>
            </w:r>
            <w:r w:rsidR="00DD3961">
              <w:rPr>
                <w:noProof/>
                <w:webHidden/>
              </w:rPr>
              <w:t>8</w:t>
            </w:r>
            <w:r w:rsidR="00DD3961">
              <w:rPr>
                <w:noProof/>
                <w:webHidden/>
              </w:rPr>
              <w:fldChar w:fldCharType="end"/>
            </w:r>
          </w:hyperlink>
        </w:p>
        <w:p w14:paraId="071ABAC5" w14:textId="6AEDE89D" w:rsidR="00DD3961" w:rsidRDefault="00A23F23">
          <w:pPr>
            <w:pStyle w:val="TOC1"/>
            <w:tabs>
              <w:tab w:val="right" w:leader="dot" w:pos="8828"/>
            </w:tabs>
            <w:rPr>
              <w:rFonts w:eastAsiaTheme="minorEastAsia"/>
              <w:b w:val="0"/>
              <w:noProof/>
              <w:sz w:val="22"/>
              <w:szCs w:val="22"/>
              <w:lang w:val="en-US"/>
            </w:rPr>
          </w:pPr>
          <w:hyperlink w:anchor="_Toc8644423" w:history="1">
            <w:r w:rsidR="00DD3961" w:rsidRPr="00C840F2">
              <w:rPr>
                <w:rStyle w:val="Hyperlink"/>
                <w:noProof/>
              </w:rPr>
              <w:t>5. Gender Analysis in the Mira basin</w:t>
            </w:r>
            <w:r w:rsidR="00DD3961">
              <w:rPr>
                <w:noProof/>
                <w:webHidden/>
              </w:rPr>
              <w:tab/>
            </w:r>
            <w:r w:rsidR="00DD3961">
              <w:rPr>
                <w:noProof/>
                <w:webHidden/>
              </w:rPr>
              <w:fldChar w:fldCharType="begin"/>
            </w:r>
            <w:r w:rsidR="00DD3961">
              <w:rPr>
                <w:noProof/>
                <w:webHidden/>
              </w:rPr>
              <w:instrText xml:space="preserve"> PAGEREF _Toc8644423 \h </w:instrText>
            </w:r>
            <w:r w:rsidR="00DD3961">
              <w:rPr>
                <w:noProof/>
                <w:webHidden/>
              </w:rPr>
            </w:r>
            <w:r w:rsidR="00DD3961">
              <w:rPr>
                <w:noProof/>
                <w:webHidden/>
              </w:rPr>
              <w:fldChar w:fldCharType="separate"/>
            </w:r>
            <w:r w:rsidR="00DD3961">
              <w:rPr>
                <w:noProof/>
                <w:webHidden/>
              </w:rPr>
              <w:t>9</w:t>
            </w:r>
            <w:r w:rsidR="00DD3961">
              <w:rPr>
                <w:noProof/>
                <w:webHidden/>
              </w:rPr>
              <w:fldChar w:fldCharType="end"/>
            </w:r>
          </w:hyperlink>
        </w:p>
        <w:p w14:paraId="277BDAB4" w14:textId="1C29F085" w:rsidR="00DD3961" w:rsidRDefault="00A23F23">
          <w:pPr>
            <w:pStyle w:val="TOC2"/>
            <w:tabs>
              <w:tab w:val="right" w:leader="dot" w:pos="8828"/>
            </w:tabs>
            <w:rPr>
              <w:rFonts w:eastAsiaTheme="minorEastAsia"/>
              <w:b w:val="0"/>
              <w:noProof/>
              <w:lang w:val="en-US"/>
            </w:rPr>
          </w:pPr>
          <w:hyperlink w:anchor="_Toc8644424" w:history="1">
            <w:r w:rsidR="00DD3961" w:rsidRPr="00C840F2">
              <w:rPr>
                <w:rStyle w:val="Hyperlink"/>
                <w:rFonts w:ascii="Calibri" w:eastAsia="Times New Roman" w:hAnsi="Calibri" w:cs="Calibri"/>
                <w:bCs/>
                <w:noProof/>
                <w:lang w:eastAsia="en-CA"/>
              </w:rPr>
              <w:t>5.1 Overview of the basin</w:t>
            </w:r>
            <w:r w:rsidR="00DD3961">
              <w:rPr>
                <w:noProof/>
                <w:webHidden/>
              </w:rPr>
              <w:tab/>
            </w:r>
            <w:r w:rsidR="00DD3961">
              <w:rPr>
                <w:noProof/>
                <w:webHidden/>
              </w:rPr>
              <w:fldChar w:fldCharType="begin"/>
            </w:r>
            <w:r w:rsidR="00DD3961">
              <w:rPr>
                <w:noProof/>
                <w:webHidden/>
              </w:rPr>
              <w:instrText xml:space="preserve"> PAGEREF _Toc8644424 \h </w:instrText>
            </w:r>
            <w:r w:rsidR="00DD3961">
              <w:rPr>
                <w:noProof/>
                <w:webHidden/>
              </w:rPr>
            </w:r>
            <w:r w:rsidR="00DD3961">
              <w:rPr>
                <w:noProof/>
                <w:webHidden/>
              </w:rPr>
              <w:fldChar w:fldCharType="separate"/>
            </w:r>
            <w:r w:rsidR="00DD3961">
              <w:rPr>
                <w:noProof/>
                <w:webHidden/>
              </w:rPr>
              <w:t>9</w:t>
            </w:r>
            <w:r w:rsidR="00DD3961">
              <w:rPr>
                <w:noProof/>
                <w:webHidden/>
              </w:rPr>
              <w:fldChar w:fldCharType="end"/>
            </w:r>
          </w:hyperlink>
        </w:p>
        <w:p w14:paraId="5581FBA3" w14:textId="6C06E28C" w:rsidR="00DD3961" w:rsidRDefault="00A23F23">
          <w:pPr>
            <w:pStyle w:val="TOC2"/>
            <w:tabs>
              <w:tab w:val="right" w:leader="dot" w:pos="8828"/>
            </w:tabs>
            <w:rPr>
              <w:rFonts w:eastAsiaTheme="minorEastAsia"/>
              <w:b w:val="0"/>
              <w:noProof/>
              <w:lang w:val="en-US"/>
            </w:rPr>
          </w:pPr>
          <w:hyperlink w:anchor="_Toc8644425" w:history="1">
            <w:r w:rsidR="00DD3961" w:rsidRPr="00C840F2">
              <w:rPr>
                <w:rStyle w:val="Hyperlink"/>
                <w:rFonts w:ascii="Calibri" w:eastAsia="Times New Roman" w:hAnsi="Calibri" w:cs="Calibri"/>
                <w:bCs/>
                <w:noProof/>
                <w:lang w:eastAsia="en-CA"/>
              </w:rPr>
              <w:t>5.2. Water Access and Management</w:t>
            </w:r>
            <w:r w:rsidR="00DD3961">
              <w:rPr>
                <w:noProof/>
                <w:webHidden/>
              </w:rPr>
              <w:tab/>
            </w:r>
            <w:r w:rsidR="00DD3961">
              <w:rPr>
                <w:noProof/>
                <w:webHidden/>
              </w:rPr>
              <w:fldChar w:fldCharType="begin"/>
            </w:r>
            <w:r w:rsidR="00DD3961">
              <w:rPr>
                <w:noProof/>
                <w:webHidden/>
              </w:rPr>
              <w:instrText xml:space="preserve"> PAGEREF _Toc8644425 \h </w:instrText>
            </w:r>
            <w:r w:rsidR="00DD3961">
              <w:rPr>
                <w:noProof/>
                <w:webHidden/>
              </w:rPr>
            </w:r>
            <w:r w:rsidR="00DD3961">
              <w:rPr>
                <w:noProof/>
                <w:webHidden/>
              </w:rPr>
              <w:fldChar w:fldCharType="separate"/>
            </w:r>
            <w:r w:rsidR="00DD3961">
              <w:rPr>
                <w:noProof/>
                <w:webHidden/>
              </w:rPr>
              <w:t>9</w:t>
            </w:r>
            <w:r w:rsidR="00DD3961">
              <w:rPr>
                <w:noProof/>
                <w:webHidden/>
              </w:rPr>
              <w:fldChar w:fldCharType="end"/>
            </w:r>
          </w:hyperlink>
        </w:p>
        <w:p w14:paraId="769F8AA8" w14:textId="7868B5D6" w:rsidR="00DD3961" w:rsidRDefault="00A23F23">
          <w:pPr>
            <w:pStyle w:val="TOC2"/>
            <w:tabs>
              <w:tab w:val="right" w:leader="dot" w:pos="8828"/>
            </w:tabs>
            <w:rPr>
              <w:rFonts w:eastAsiaTheme="minorEastAsia"/>
              <w:b w:val="0"/>
              <w:noProof/>
              <w:lang w:val="en-US"/>
            </w:rPr>
          </w:pPr>
          <w:hyperlink w:anchor="_Toc8644426" w:history="1">
            <w:r w:rsidR="00DD3961" w:rsidRPr="00C840F2">
              <w:rPr>
                <w:rStyle w:val="Hyperlink"/>
                <w:rFonts w:ascii="Calibri" w:eastAsia="Times New Roman" w:hAnsi="Calibri" w:cs="Calibri"/>
                <w:bCs/>
                <w:noProof/>
                <w:lang w:eastAsia="en-CA"/>
              </w:rPr>
              <w:t>5.3. Who participates and makes decisions for the different levels of water governance</w:t>
            </w:r>
            <w:r w:rsidR="00DD3961">
              <w:rPr>
                <w:noProof/>
                <w:webHidden/>
              </w:rPr>
              <w:tab/>
            </w:r>
            <w:r w:rsidR="00DD3961">
              <w:rPr>
                <w:noProof/>
                <w:webHidden/>
              </w:rPr>
              <w:fldChar w:fldCharType="begin"/>
            </w:r>
            <w:r w:rsidR="00DD3961">
              <w:rPr>
                <w:noProof/>
                <w:webHidden/>
              </w:rPr>
              <w:instrText xml:space="preserve"> PAGEREF _Toc8644426 \h </w:instrText>
            </w:r>
            <w:r w:rsidR="00DD3961">
              <w:rPr>
                <w:noProof/>
                <w:webHidden/>
              </w:rPr>
            </w:r>
            <w:r w:rsidR="00DD3961">
              <w:rPr>
                <w:noProof/>
                <w:webHidden/>
              </w:rPr>
              <w:fldChar w:fldCharType="separate"/>
            </w:r>
            <w:r w:rsidR="00DD3961">
              <w:rPr>
                <w:noProof/>
                <w:webHidden/>
              </w:rPr>
              <w:t>10</w:t>
            </w:r>
            <w:r w:rsidR="00DD3961">
              <w:rPr>
                <w:noProof/>
                <w:webHidden/>
              </w:rPr>
              <w:fldChar w:fldCharType="end"/>
            </w:r>
          </w:hyperlink>
        </w:p>
        <w:p w14:paraId="61974531" w14:textId="2DF6058F" w:rsidR="00DD3961" w:rsidRDefault="00A23F23">
          <w:pPr>
            <w:pStyle w:val="TOC1"/>
            <w:tabs>
              <w:tab w:val="right" w:leader="dot" w:pos="8828"/>
            </w:tabs>
            <w:rPr>
              <w:rFonts w:eastAsiaTheme="minorEastAsia"/>
              <w:b w:val="0"/>
              <w:noProof/>
              <w:sz w:val="22"/>
              <w:szCs w:val="22"/>
              <w:lang w:val="en-US"/>
            </w:rPr>
          </w:pPr>
          <w:hyperlink w:anchor="_Toc8644427" w:history="1">
            <w:r w:rsidR="00DD3961" w:rsidRPr="00C840F2">
              <w:rPr>
                <w:rStyle w:val="Hyperlink"/>
                <w:noProof/>
              </w:rPr>
              <w:t>6. Gender Analysis in the Mataje basin</w:t>
            </w:r>
            <w:r w:rsidR="00DD3961">
              <w:rPr>
                <w:noProof/>
                <w:webHidden/>
              </w:rPr>
              <w:tab/>
            </w:r>
            <w:r w:rsidR="00DD3961">
              <w:rPr>
                <w:noProof/>
                <w:webHidden/>
              </w:rPr>
              <w:fldChar w:fldCharType="begin"/>
            </w:r>
            <w:r w:rsidR="00DD3961">
              <w:rPr>
                <w:noProof/>
                <w:webHidden/>
              </w:rPr>
              <w:instrText xml:space="preserve"> PAGEREF _Toc8644427 \h </w:instrText>
            </w:r>
            <w:r w:rsidR="00DD3961">
              <w:rPr>
                <w:noProof/>
                <w:webHidden/>
              </w:rPr>
            </w:r>
            <w:r w:rsidR="00DD3961">
              <w:rPr>
                <w:noProof/>
                <w:webHidden/>
              </w:rPr>
              <w:fldChar w:fldCharType="separate"/>
            </w:r>
            <w:r w:rsidR="00DD3961">
              <w:rPr>
                <w:noProof/>
                <w:webHidden/>
              </w:rPr>
              <w:t>15</w:t>
            </w:r>
            <w:r w:rsidR="00DD3961">
              <w:rPr>
                <w:noProof/>
                <w:webHidden/>
              </w:rPr>
              <w:fldChar w:fldCharType="end"/>
            </w:r>
          </w:hyperlink>
        </w:p>
        <w:p w14:paraId="034653E1" w14:textId="379AA903" w:rsidR="00DD3961" w:rsidRDefault="00A23F23">
          <w:pPr>
            <w:pStyle w:val="TOC2"/>
            <w:tabs>
              <w:tab w:val="right" w:leader="dot" w:pos="8828"/>
            </w:tabs>
            <w:rPr>
              <w:rFonts w:eastAsiaTheme="minorEastAsia"/>
              <w:b w:val="0"/>
              <w:noProof/>
              <w:lang w:val="en-US"/>
            </w:rPr>
          </w:pPr>
          <w:hyperlink w:anchor="_Toc8644428" w:history="1">
            <w:r w:rsidR="00DD3961" w:rsidRPr="00C840F2">
              <w:rPr>
                <w:rStyle w:val="Hyperlink"/>
                <w:rFonts w:ascii="Calibri" w:eastAsia="Times New Roman" w:hAnsi="Calibri" w:cs="Calibri"/>
                <w:bCs/>
                <w:noProof/>
                <w:lang w:eastAsia="en-CA"/>
              </w:rPr>
              <w:t>6.1 Overview of the basin</w:t>
            </w:r>
            <w:r w:rsidR="00DD3961">
              <w:rPr>
                <w:noProof/>
                <w:webHidden/>
              </w:rPr>
              <w:tab/>
            </w:r>
            <w:r w:rsidR="00DD3961">
              <w:rPr>
                <w:noProof/>
                <w:webHidden/>
              </w:rPr>
              <w:fldChar w:fldCharType="begin"/>
            </w:r>
            <w:r w:rsidR="00DD3961">
              <w:rPr>
                <w:noProof/>
                <w:webHidden/>
              </w:rPr>
              <w:instrText xml:space="preserve"> PAGEREF _Toc8644428 \h </w:instrText>
            </w:r>
            <w:r w:rsidR="00DD3961">
              <w:rPr>
                <w:noProof/>
                <w:webHidden/>
              </w:rPr>
            </w:r>
            <w:r w:rsidR="00DD3961">
              <w:rPr>
                <w:noProof/>
                <w:webHidden/>
              </w:rPr>
              <w:fldChar w:fldCharType="separate"/>
            </w:r>
            <w:r w:rsidR="00DD3961">
              <w:rPr>
                <w:noProof/>
                <w:webHidden/>
              </w:rPr>
              <w:t>15</w:t>
            </w:r>
            <w:r w:rsidR="00DD3961">
              <w:rPr>
                <w:noProof/>
                <w:webHidden/>
              </w:rPr>
              <w:fldChar w:fldCharType="end"/>
            </w:r>
          </w:hyperlink>
        </w:p>
        <w:p w14:paraId="3C0C8181" w14:textId="2FD6D5A1" w:rsidR="00DD3961" w:rsidRDefault="00A23F23">
          <w:pPr>
            <w:pStyle w:val="TOC2"/>
            <w:tabs>
              <w:tab w:val="right" w:leader="dot" w:pos="8828"/>
            </w:tabs>
            <w:rPr>
              <w:rFonts w:eastAsiaTheme="minorEastAsia"/>
              <w:b w:val="0"/>
              <w:noProof/>
              <w:lang w:val="en-US"/>
            </w:rPr>
          </w:pPr>
          <w:hyperlink w:anchor="_Toc8644429" w:history="1">
            <w:r w:rsidR="00DD3961" w:rsidRPr="00C840F2">
              <w:rPr>
                <w:rStyle w:val="Hyperlink"/>
                <w:rFonts w:ascii="Calibri" w:eastAsia="Times New Roman" w:hAnsi="Calibri" w:cs="Calibri"/>
                <w:bCs/>
                <w:noProof/>
                <w:lang w:eastAsia="en-CA"/>
              </w:rPr>
              <w:t>6.2. Water Access and Management</w:t>
            </w:r>
            <w:r w:rsidR="00DD3961">
              <w:rPr>
                <w:noProof/>
                <w:webHidden/>
              </w:rPr>
              <w:tab/>
            </w:r>
            <w:r w:rsidR="00DD3961">
              <w:rPr>
                <w:noProof/>
                <w:webHidden/>
              </w:rPr>
              <w:fldChar w:fldCharType="begin"/>
            </w:r>
            <w:r w:rsidR="00DD3961">
              <w:rPr>
                <w:noProof/>
                <w:webHidden/>
              </w:rPr>
              <w:instrText xml:space="preserve"> PAGEREF _Toc8644429 \h </w:instrText>
            </w:r>
            <w:r w:rsidR="00DD3961">
              <w:rPr>
                <w:noProof/>
                <w:webHidden/>
              </w:rPr>
            </w:r>
            <w:r w:rsidR="00DD3961">
              <w:rPr>
                <w:noProof/>
                <w:webHidden/>
              </w:rPr>
              <w:fldChar w:fldCharType="separate"/>
            </w:r>
            <w:r w:rsidR="00DD3961">
              <w:rPr>
                <w:noProof/>
                <w:webHidden/>
              </w:rPr>
              <w:t>15</w:t>
            </w:r>
            <w:r w:rsidR="00DD3961">
              <w:rPr>
                <w:noProof/>
                <w:webHidden/>
              </w:rPr>
              <w:fldChar w:fldCharType="end"/>
            </w:r>
          </w:hyperlink>
        </w:p>
        <w:p w14:paraId="46D1167F" w14:textId="2B937485" w:rsidR="00DD3961" w:rsidRDefault="00A23F23">
          <w:pPr>
            <w:pStyle w:val="TOC2"/>
            <w:tabs>
              <w:tab w:val="right" w:leader="dot" w:pos="8828"/>
            </w:tabs>
            <w:rPr>
              <w:rFonts w:eastAsiaTheme="minorEastAsia"/>
              <w:b w:val="0"/>
              <w:noProof/>
              <w:lang w:val="en-US"/>
            </w:rPr>
          </w:pPr>
          <w:hyperlink w:anchor="_Toc8644430" w:history="1">
            <w:r w:rsidR="00DD3961" w:rsidRPr="00C840F2">
              <w:rPr>
                <w:rStyle w:val="Hyperlink"/>
                <w:rFonts w:ascii="Calibri" w:eastAsia="Times New Roman" w:hAnsi="Calibri" w:cs="Calibri"/>
                <w:bCs/>
                <w:noProof/>
                <w:lang w:eastAsia="en-CA"/>
              </w:rPr>
              <w:t>6.3. Water Governance and Decision-Making</w:t>
            </w:r>
            <w:r w:rsidR="00DD3961">
              <w:rPr>
                <w:noProof/>
                <w:webHidden/>
              </w:rPr>
              <w:tab/>
            </w:r>
            <w:r w:rsidR="00DD3961">
              <w:rPr>
                <w:noProof/>
                <w:webHidden/>
              </w:rPr>
              <w:fldChar w:fldCharType="begin"/>
            </w:r>
            <w:r w:rsidR="00DD3961">
              <w:rPr>
                <w:noProof/>
                <w:webHidden/>
              </w:rPr>
              <w:instrText xml:space="preserve"> PAGEREF _Toc8644430 \h </w:instrText>
            </w:r>
            <w:r w:rsidR="00DD3961">
              <w:rPr>
                <w:noProof/>
                <w:webHidden/>
              </w:rPr>
            </w:r>
            <w:r w:rsidR="00DD3961">
              <w:rPr>
                <w:noProof/>
                <w:webHidden/>
              </w:rPr>
              <w:fldChar w:fldCharType="separate"/>
            </w:r>
            <w:r w:rsidR="00DD3961">
              <w:rPr>
                <w:noProof/>
                <w:webHidden/>
              </w:rPr>
              <w:t>16</w:t>
            </w:r>
            <w:r w:rsidR="00DD3961">
              <w:rPr>
                <w:noProof/>
                <w:webHidden/>
              </w:rPr>
              <w:fldChar w:fldCharType="end"/>
            </w:r>
          </w:hyperlink>
        </w:p>
        <w:p w14:paraId="5E58CE71" w14:textId="6474C96A" w:rsidR="00DD3961" w:rsidRDefault="00A23F23">
          <w:pPr>
            <w:pStyle w:val="TOC1"/>
            <w:tabs>
              <w:tab w:val="right" w:leader="dot" w:pos="8828"/>
            </w:tabs>
            <w:rPr>
              <w:rFonts w:eastAsiaTheme="minorEastAsia"/>
              <w:b w:val="0"/>
              <w:noProof/>
              <w:sz w:val="22"/>
              <w:szCs w:val="22"/>
              <w:lang w:val="en-US"/>
            </w:rPr>
          </w:pPr>
          <w:hyperlink w:anchor="_Toc8644431" w:history="1">
            <w:r w:rsidR="00DD3961" w:rsidRPr="00C840F2">
              <w:rPr>
                <w:rStyle w:val="Hyperlink"/>
                <w:noProof/>
              </w:rPr>
              <w:t>7. Gender Analysis in the Carchi Guáitara basin</w:t>
            </w:r>
            <w:r w:rsidR="00DD3961">
              <w:rPr>
                <w:noProof/>
                <w:webHidden/>
              </w:rPr>
              <w:tab/>
            </w:r>
            <w:r w:rsidR="00DD3961">
              <w:rPr>
                <w:noProof/>
                <w:webHidden/>
              </w:rPr>
              <w:fldChar w:fldCharType="begin"/>
            </w:r>
            <w:r w:rsidR="00DD3961">
              <w:rPr>
                <w:noProof/>
                <w:webHidden/>
              </w:rPr>
              <w:instrText xml:space="preserve"> PAGEREF _Toc8644431 \h </w:instrText>
            </w:r>
            <w:r w:rsidR="00DD3961">
              <w:rPr>
                <w:noProof/>
                <w:webHidden/>
              </w:rPr>
            </w:r>
            <w:r w:rsidR="00DD3961">
              <w:rPr>
                <w:noProof/>
                <w:webHidden/>
              </w:rPr>
              <w:fldChar w:fldCharType="separate"/>
            </w:r>
            <w:r w:rsidR="00DD3961">
              <w:rPr>
                <w:noProof/>
                <w:webHidden/>
              </w:rPr>
              <w:t>18</w:t>
            </w:r>
            <w:r w:rsidR="00DD3961">
              <w:rPr>
                <w:noProof/>
                <w:webHidden/>
              </w:rPr>
              <w:fldChar w:fldCharType="end"/>
            </w:r>
          </w:hyperlink>
        </w:p>
        <w:p w14:paraId="0FF4A9C2" w14:textId="009915A8" w:rsidR="00DD3961" w:rsidRDefault="00A23F23">
          <w:pPr>
            <w:pStyle w:val="TOC2"/>
            <w:tabs>
              <w:tab w:val="right" w:leader="dot" w:pos="8828"/>
            </w:tabs>
            <w:rPr>
              <w:rFonts w:eastAsiaTheme="minorEastAsia"/>
              <w:b w:val="0"/>
              <w:noProof/>
              <w:lang w:val="en-US"/>
            </w:rPr>
          </w:pPr>
          <w:hyperlink w:anchor="_Toc8644432" w:history="1">
            <w:r w:rsidR="00DD3961" w:rsidRPr="00C840F2">
              <w:rPr>
                <w:rStyle w:val="Hyperlink"/>
                <w:rFonts w:ascii="Calibri" w:eastAsia="Times New Roman" w:hAnsi="Calibri" w:cs="Calibri"/>
                <w:bCs/>
                <w:noProof/>
                <w:lang w:eastAsia="en-CA"/>
              </w:rPr>
              <w:t>7.1. Overview of the basin</w:t>
            </w:r>
            <w:r w:rsidR="00DD3961">
              <w:rPr>
                <w:noProof/>
                <w:webHidden/>
              </w:rPr>
              <w:tab/>
            </w:r>
            <w:r w:rsidR="00DD3961">
              <w:rPr>
                <w:noProof/>
                <w:webHidden/>
              </w:rPr>
              <w:fldChar w:fldCharType="begin"/>
            </w:r>
            <w:r w:rsidR="00DD3961">
              <w:rPr>
                <w:noProof/>
                <w:webHidden/>
              </w:rPr>
              <w:instrText xml:space="preserve"> PAGEREF _Toc8644432 \h </w:instrText>
            </w:r>
            <w:r w:rsidR="00DD3961">
              <w:rPr>
                <w:noProof/>
                <w:webHidden/>
              </w:rPr>
            </w:r>
            <w:r w:rsidR="00DD3961">
              <w:rPr>
                <w:noProof/>
                <w:webHidden/>
              </w:rPr>
              <w:fldChar w:fldCharType="separate"/>
            </w:r>
            <w:r w:rsidR="00DD3961">
              <w:rPr>
                <w:noProof/>
                <w:webHidden/>
              </w:rPr>
              <w:t>18</w:t>
            </w:r>
            <w:r w:rsidR="00DD3961">
              <w:rPr>
                <w:noProof/>
                <w:webHidden/>
              </w:rPr>
              <w:fldChar w:fldCharType="end"/>
            </w:r>
          </w:hyperlink>
        </w:p>
        <w:p w14:paraId="38212FC0" w14:textId="0E8786CC" w:rsidR="00DD3961" w:rsidRDefault="00A23F23">
          <w:pPr>
            <w:pStyle w:val="TOC2"/>
            <w:tabs>
              <w:tab w:val="right" w:leader="dot" w:pos="8828"/>
            </w:tabs>
            <w:rPr>
              <w:rFonts w:eastAsiaTheme="minorEastAsia"/>
              <w:b w:val="0"/>
              <w:noProof/>
              <w:lang w:val="en-US"/>
            </w:rPr>
          </w:pPr>
          <w:hyperlink w:anchor="_Toc8644433" w:history="1">
            <w:r w:rsidR="00DD3961" w:rsidRPr="00C840F2">
              <w:rPr>
                <w:rStyle w:val="Hyperlink"/>
                <w:rFonts w:ascii="Calibri" w:eastAsia="Times New Roman" w:hAnsi="Calibri" w:cs="Calibri"/>
                <w:bCs/>
                <w:noProof/>
                <w:lang w:eastAsia="en-CA"/>
              </w:rPr>
              <w:t>7.2. Water Access and Management</w:t>
            </w:r>
            <w:r w:rsidR="00DD3961">
              <w:rPr>
                <w:noProof/>
                <w:webHidden/>
              </w:rPr>
              <w:tab/>
            </w:r>
            <w:r w:rsidR="00DD3961">
              <w:rPr>
                <w:noProof/>
                <w:webHidden/>
              </w:rPr>
              <w:fldChar w:fldCharType="begin"/>
            </w:r>
            <w:r w:rsidR="00DD3961">
              <w:rPr>
                <w:noProof/>
                <w:webHidden/>
              </w:rPr>
              <w:instrText xml:space="preserve"> PAGEREF _Toc8644433 \h </w:instrText>
            </w:r>
            <w:r w:rsidR="00DD3961">
              <w:rPr>
                <w:noProof/>
                <w:webHidden/>
              </w:rPr>
            </w:r>
            <w:r w:rsidR="00DD3961">
              <w:rPr>
                <w:noProof/>
                <w:webHidden/>
              </w:rPr>
              <w:fldChar w:fldCharType="separate"/>
            </w:r>
            <w:r w:rsidR="00DD3961">
              <w:rPr>
                <w:noProof/>
                <w:webHidden/>
              </w:rPr>
              <w:t>18</w:t>
            </w:r>
            <w:r w:rsidR="00DD3961">
              <w:rPr>
                <w:noProof/>
                <w:webHidden/>
              </w:rPr>
              <w:fldChar w:fldCharType="end"/>
            </w:r>
          </w:hyperlink>
        </w:p>
        <w:p w14:paraId="6C319C09" w14:textId="24ABAF60" w:rsidR="00DD3961" w:rsidRDefault="00A23F23">
          <w:pPr>
            <w:pStyle w:val="TOC2"/>
            <w:tabs>
              <w:tab w:val="right" w:leader="dot" w:pos="8828"/>
            </w:tabs>
            <w:rPr>
              <w:rFonts w:eastAsiaTheme="minorEastAsia"/>
              <w:b w:val="0"/>
              <w:noProof/>
              <w:lang w:val="en-US"/>
            </w:rPr>
          </w:pPr>
          <w:hyperlink w:anchor="_Toc8644434" w:history="1">
            <w:r w:rsidR="00DD3961" w:rsidRPr="00C840F2">
              <w:rPr>
                <w:rStyle w:val="Hyperlink"/>
                <w:rFonts w:ascii="Calibri" w:eastAsia="Times New Roman" w:hAnsi="Calibri" w:cs="Calibri"/>
                <w:bCs/>
                <w:noProof/>
                <w:lang w:eastAsia="en-CA"/>
              </w:rPr>
              <w:t>7.3. Water Governance and Decision Making</w:t>
            </w:r>
            <w:r w:rsidR="00DD3961">
              <w:rPr>
                <w:noProof/>
                <w:webHidden/>
              </w:rPr>
              <w:tab/>
            </w:r>
            <w:r w:rsidR="00DD3961">
              <w:rPr>
                <w:noProof/>
                <w:webHidden/>
              </w:rPr>
              <w:fldChar w:fldCharType="begin"/>
            </w:r>
            <w:r w:rsidR="00DD3961">
              <w:rPr>
                <w:noProof/>
                <w:webHidden/>
              </w:rPr>
              <w:instrText xml:space="preserve"> PAGEREF _Toc8644434 \h </w:instrText>
            </w:r>
            <w:r w:rsidR="00DD3961">
              <w:rPr>
                <w:noProof/>
                <w:webHidden/>
              </w:rPr>
            </w:r>
            <w:r w:rsidR="00DD3961">
              <w:rPr>
                <w:noProof/>
                <w:webHidden/>
              </w:rPr>
              <w:fldChar w:fldCharType="separate"/>
            </w:r>
            <w:r w:rsidR="00DD3961">
              <w:rPr>
                <w:noProof/>
                <w:webHidden/>
              </w:rPr>
              <w:t>19</w:t>
            </w:r>
            <w:r w:rsidR="00DD3961">
              <w:rPr>
                <w:noProof/>
                <w:webHidden/>
              </w:rPr>
              <w:fldChar w:fldCharType="end"/>
            </w:r>
          </w:hyperlink>
        </w:p>
        <w:p w14:paraId="463BE374" w14:textId="07A9839C" w:rsidR="00DD3961" w:rsidRDefault="00A23F23">
          <w:pPr>
            <w:pStyle w:val="TOC1"/>
            <w:tabs>
              <w:tab w:val="right" w:leader="dot" w:pos="8828"/>
            </w:tabs>
            <w:rPr>
              <w:rFonts w:eastAsiaTheme="minorEastAsia"/>
              <w:b w:val="0"/>
              <w:noProof/>
              <w:sz w:val="22"/>
              <w:szCs w:val="22"/>
              <w:lang w:val="en-US"/>
            </w:rPr>
          </w:pPr>
          <w:hyperlink w:anchor="_Toc8644435" w:history="1">
            <w:r w:rsidR="00DD3961" w:rsidRPr="00C840F2">
              <w:rPr>
                <w:rStyle w:val="Hyperlink"/>
                <w:noProof/>
              </w:rPr>
              <w:t>8. Main findings</w:t>
            </w:r>
            <w:r w:rsidR="00DD3961">
              <w:rPr>
                <w:noProof/>
                <w:webHidden/>
              </w:rPr>
              <w:tab/>
            </w:r>
            <w:r w:rsidR="00DD3961">
              <w:rPr>
                <w:noProof/>
                <w:webHidden/>
              </w:rPr>
              <w:fldChar w:fldCharType="begin"/>
            </w:r>
            <w:r w:rsidR="00DD3961">
              <w:rPr>
                <w:noProof/>
                <w:webHidden/>
              </w:rPr>
              <w:instrText xml:space="preserve"> PAGEREF _Toc8644435 \h </w:instrText>
            </w:r>
            <w:r w:rsidR="00DD3961">
              <w:rPr>
                <w:noProof/>
                <w:webHidden/>
              </w:rPr>
            </w:r>
            <w:r w:rsidR="00DD3961">
              <w:rPr>
                <w:noProof/>
                <w:webHidden/>
              </w:rPr>
              <w:fldChar w:fldCharType="separate"/>
            </w:r>
            <w:r w:rsidR="00DD3961">
              <w:rPr>
                <w:noProof/>
                <w:webHidden/>
              </w:rPr>
              <w:t>20</w:t>
            </w:r>
            <w:r w:rsidR="00DD3961">
              <w:rPr>
                <w:noProof/>
                <w:webHidden/>
              </w:rPr>
              <w:fldChar w:fldCharType="end"/>
            </w:r>
          </w:hyperlink>
        </w:p>
        <w:p w14:paraId="0291BF6C" w14:textId="3DEDC534" w:rsidR="00DD3961" w:rsidRDefault="00A23F23">
          <w:pPr>
            <w:pStyle w:val="TOC1"/>
            <w:tabs>
              <w:tab w:val="right" w:leader="dot" w:pos="8828"/>
            </w:tabs>
            <w:rPr>
              <w:rFonts w:eastAsiaTheme="minorEastAsia"/>
              <w:b w:val="0"/>
              <w:noProof/>
              <w:sz w:val="22"/>
              <w:szCs w:val="22"/>
              <w:lang w:val="en-US"/>
            </w:rPr>
          </w:pPr>
          <w:hyperlink w:anchor="_Toc8644436" w:history="1">
            <w:r w:rsidR="00DD3961" w:rsidRPr="00C840F2">
              <w:rPr>
                <w:rStyle w:val="Hyperlink"/>
                <w:noProof/>
              </w:rPr>
              <w:t>9. Who would benefit from the future project?</w:t>
            </w:r>
            <w:r w:rsidR="00DD3961">
              <w:rPr>
                <w:noProof/>
                <w:webHidden/>
              </w:rPr>
              <w:tab/>
            </w:r>
            <w:r w:rsidR="00DD3961">
              <w:rPr>
                <w:noProof/>
                <w:webHidden/>
              </w:rPr>
              <w:fldChar w:fldCharType="begin"/>
            </w:r>
            <w:r w:rsidR="00DD3961">
              <w:rPr>
                <w:noProof/>
                <w:webHidden/>
              </w:rPr>
              <w:instrText xml:space="preserve"> PAGEREF _Toc8644436 \h </w:instrText>
            </w:r>
            <w:r w:rsidR="00DD3961">
              <w:rPr>
                <w:noProof/>
                <w:webHidden/>
              </w:rPr>
            </w:r>
            <w:r w:rsidR="00DD3961">
              <w:rPr>
                <w:noProof/>
                <w:webHidden/>
              </w:rPr>
              <w:fldChar w:fldCharType="separate"/>
            </w:r>
            <w:r w:rsidR="00DD3961">
              <w:rPr>
                <w:noProof/>
                <w:webHidden/>
              </w:rPr>
              <w:t>21</w:t>
            </w:r>
            <w:r w:rsidR="00DD3961">
              <w:rPr>
                <w:noProof/>
                <w:webHidden/>
              </w:rPr>
              <w:fldChar w:fldCharType="end"/>
            </w:r>
          </w:hyperlink>
        </w:p>
        <w:p w14:paraId="2C694364" w14:textId="745651C0" w:rsidR="00DD3961" w:rsidRDefault="00A23F23">
          <w:pPr>
            <w:pStyle w:val="TOC1"/>
            <w:tabs>
              <w:tab w:val="right" w:leader="dot" w:pos="8828"/>
            </w:tabs>
            <w:rPr>
              <w:rFonts w:eastAsiaTheme="minorEastAsia"/>
              <w:b w:val="0"/>
              <w:noProof/>
              <w:sz w:val="22"/>
              <w:szCs w:val="22"/>
              <w:lang w:val="en-US"/>
            </w:rPr>
          </w:pPr>
          <w:hyperlink w:anchor="_Toc8644437" w:history="1">
            <w:r w:rsidR="00DD3961" w:rsidRPr="00C840F2">
              <w:rPr>
                <w:rStyle w:val="Hyperlink"/>
                <w:noProof/>
              </w:rPr>
              <w:t>10. Opportunities for the integration of the gender equality approach in the project</w:t>
            </w:r>
            <w:r w:rsidR="00DD3961">
              <w:rPr>
                <w:noProof/>
                <w:webHidden/>
              </w:rPr>
              <w:tab/>
            </w:r>
            <w:r w:rsidR="00DD3961">
              <w:rPr>
                <w:noProof/>
                <w:webHidden/>
              </w:rPr>
              <w:fldChar w:fldCharType="begin"/>
            </w:r>
            <w:r w:rsidR="00DD3961">
              <w:rPr>
                <w:noProof/>
                <w:webHidden/>
              </w:rPr>
              <w:instrText xml:space="preserve"> PAGEREF _Toc8644437 \h </w:instrText>
            </w:r>
            <w:r w:rsidR="00DD3961">
              <w:rPr>
                <w:noProof/>
                <w:webHidden/>
              </w:rPr>
            </w:r>
            <w:r w:rsidR="00DD3961">
              <w:rPr>
                <w:noProof/>
                <w:webHidden/>
              </w:rPr>
              <w:fldChar w:fldCharType="separate"/>
            </w:r>
            <w:r w:rsidR="00DD3961">
              <w:rPr>
                <w:noProof/>
                <w:webHidden/>
              </w:rPr>
              <w:t>22</w:t>
            </w:r>
            <w:r w:rsidR="00DD3961">
              <w:rPr>
                <w:noProof/>
                <w:webHidden/>
              </w:rPr>
              <w:fldChar w:fldCharType="end"/>
            </w:r>
          </w:hyperlink>
        </w:p>
        <w:p w14:paraId="5D4B0CCD" w14:textId="102E3C0B" w:rsidR="00DD3961" w:rsidRDefault="00A23F23">
          <w:pPr>
            <w:pStyle w:val="TOC1"/>
            <w:tabs>
              <w:tab w:val="right" w:leader="dot" w:pos="8828"/>
            </w:tabs>
            <w:rPr>
              <w:rFonts w:eastAsiaTheme="minorEastAsia"/>
              <w:b w:val="0"/>
              <w:noProof/>
              <w:sz w:val="22"/>
              <w:szCs w:val="22"/>
              <w:lang w:val="en-US"/>
            </w:rPr>
          </w:pPr>
          <w:hyperlink w:anchor="_Toc8644438" w:history="1">
            <w:r w:rsidR="00DD3961" w:rsidRPr="00C840F2">
              <w:rPr>
                <w:rStyle w:val="Hyperlink"/>
                <w:noProof/>
              </w:rPr>
              <w:t>11. Summary of general issues in water governance</w:t>
            </w:r>
            <w:r w:rsidR="00DD3961">
              <w:rPr>
                <w:noProof/>
                <w:webHidden/>
              </w:rPr>
              <w:tab/>
            </w:r>
            <w:r w:rsidR="00DD3961">
              <w:rPr>
                <w:noProof/>
                <w:webHidden/>
              </w:rPr>
              <w:fldChar w:fldCharType="begin"/>
            </w:r>
            <w:r w:rsidR="00DD3961">
              <w:rPr>
                <w:noProof/>
                <w:webHidden/>
              </w:rPr>
              <w:instrText xml:space="preserve"> PAGEREF _Toc8644438 \h </w:instrText>
            </w:r>
            <w:r w:rsidR="00DD3961">
              <w:rPr>
                <w:noProof/>
                <w:webHidden/>
              </w:rPr>
            </w:r>
            <w:r w:rsidR="00DD3961">
              <w:rPr>
                <w:noProof/>
                <w:webHidden/>
              </w:rPr>
              <w:fldChar w:fldCharType="separate"/>
            </w:r>
            <w:r w:rsidR="00DD3961">
              <w:rPr>
                <w:noProof/>
                <w:webHidden/>
              </w:rPr>
              <w:t>23</w:t>
            </w:r>
            <w:r w:rsidR="00DD3961">
              <w:rPr>
                <w:noProof/>
                <w:webHidden/>
              </w:rPr>
              <w:fldChar w:fldCharType="end"/>
            </w:r>
          </w:hyperlink>
        </w:p>
        <w:p w14:paraId="2336EB2B" w14:textId="7FC8A570" w:rsidR="00DD3961" w:rsidRDefault="00A23F23">
          <w:pPr>
            <w:pStyle w:val="TOC1"/>
            <w:tabs>
              <w:tab w:val="right" w:leader="dot" w:pos="8828"/>
            </w:tabs>
            <w:rPr>
              <w:rFonts w:eastAsiaTheme="minorEastAsia"/>
              <w:b w:val="0"/>
              <w:noProof/>
              <w:sz w:val="22"/>
              <w:szCs w:val="22"/>
              <w:lang w:val="en-US"/>
            </w:rPr>
          </w:pPr>
          <w:hyperlink w:anchor="_Toc8644439" w:history="1">
            <w:r w:rsidR="00DD3961" w:rsidRPr="00C840F2">
              <w:rPr>
                <w:rStyle w:val="Hyperlink"/>
                <w:noProof/>
              </w:rPr>
              <w:t>12. Concepts and terminology</w:t>
            </w:r>
            <w:r w:rsidR="00DD3961">
              <w:rPr>
                <w:noProof/>
                <w:webHidden/>
              </w:rPr>
              <w:tab/>
            </w:r>
            <w:r w:rsidR="00DD3961">
              <w:rPr>
                <w:noProof/>
                <w:webHidden/>
              </w:rPr>
              <w:fldChar w:fldCharType="begin"/>
            </w:r>
            <w:r w:rsidR="00DD3961">
              <w:rPr>
                <w:noProof/>
                <w:webHidden/>
              </w:rPr>
              <w:instrText xml:space="preserve"> PAGEREF _Toc8644439 \h </w:instrText>
            </w:r>
            <w:r w:rsidR="00DD3961">
              <w:rPr>
                <w:noProof/>
                <w:webHidden/>
              </w:rPr>
            </w:r>
            <w:r w:rsidR="00DD3961">
              <w:rPr>
                <w:noProof/>
                <w:webHidden/>
              </w:rPr>
              <w:fldChar w:fldCharType="separate"/>
            </w:r>
            <w:r w:rsidR="00DD3961">
              <w:rPr>
                <w:noProof/>
                <w:webHidden/>
              </w:rPr>
              <w:t>24</w:t>
            </w:r>
            <w:r w:rsidR="00DD3961">
              <w:rPr>
                <w:noProof/>
                <w:webHidden/>
              </w:rPr>
              <w:fldChar w:fldCharType="end"/>
            </w:r>
          </w:hyperlink>
        </w:p>
        <w:p w14:paraId="0CE88A2B" w14:textId="547B24C6" w:rsidR="00DD3961" w:rsidRDefault="00A23F23">
          <w:pPr>
            <w:pStyle w:val="TOC1"/>
            <w:tabs>
              <w:tab w:val="right" w:leader="dot" w:pos="8828"/>
            </w:tabs>
            <w:rPr>
              <w:rFonts w:eastAsiaTheme="minorEastAsia"/>
              <w:b w:val="0"/>
              <w:noProof/>
              <w:sz w:val="22"/>
              <w:szCs w:val="22"/>
              <w:lang w:val="en-US"/>
            </w:rPr>
          </w:pPr>
          <w:hyperlink w:anchor="_Toc8644440" w:history="1">
            <w:r w:rsidR="00DD3961" w:rsidRPr="00C840F2">
              <w:rPr>
                <w:rStyle w:val="Hyperlink"/>
                <w:noProof/>
              </w:rPr>
              <w:t>13. Bibliography</w:t>
            </w:r>
            <w:r w:rsidR="00DD3961">
              <w:rPr>
                <w:noProof/>
                <w:webHidden/>
              </w:rPr>
              <w:tab/>
            </w:r>
            <w:r w:rsidR="00DD3961">
              <w:rPr>
                <w:noProof/>
                <w:webHidden/>
              </w:rPr>
              <w:fldChar w:fldCharType="begin"/>
            </w:r>
            <w:r w:rsidR="00DD3961">
              <w:rPr>
                <w:noProof/>
                <w:webHidden/>
              </w:rPr>
              <w:instrText xml:space="preserve"> PAGEREF _Toc8644440 \h </w:instrText>
            </w:r>
            <w:r w:rsidR="00DD3961">
              <w:rPr>
                <w:noProof/>
                <w:webHidden/>
              </w:rPr>
            </w:r>
            <w:r w:rsidR="00DD3961">
              <w:rPr>
                <w:noProof/>
                <w:webHidden/>
              </w:rPr>
              <w:fldChar w:fldCharType="separate"/>
            </w:r>
            <w:r w:rsidR="00DD3961">
              <w:rPr>
                <w:noProof/>
                <w:webHidden/>
              </w:rPr>
              <w:t>25</w:t>
            </w:r>
            <w:r w:rsidR="00DD3961">
              <w:rPr>
                <w:noProof/>
                <w:webHidden/>
              </w:rPr>
              <w:fldChar w:fldCharType="end"/>
            </w:r>
          </w:hyperlink>
        </w:p>
        <w:p w14:paraId="50095A47" w14:textId="5BB68538" w:rsidR="00DD3961" w:rsidRDefault="00A23F23">
          <w:pPr>
            <w:pStyle w:val="TOC1"/>
            <w:tabs>
              <w:tab w:val="right" w:leader="dot" w:pos="8828"/>
            </w:tabs>
            <w:rPr>
              <w:rFonts w:eastAsiaTheme="minorEastAsia"/>
              <w:b w:val="0"/>
              <w:noProof/>
              <w:sz w:val="22"/>
              <w:szCs w:val="22"/>
              <w:lang w:val="en-US"/>
            </w:rPr>
          </w:pPr>
          <w:hyperlink w:anchor="_Toc8644441" w:history="1">
            <w:r w:rsidR="00DD3961" w:rsidRPr="00C840F2">
              <w:rPr>
                <w:rStyle w:val="Hyperlink"/>
                <w:noProof/>
              </w:rPr>
              <w:t>14. List of informants</w:t>
            </w:r>
            <w:r w:rsidR="00DD3961">
              <w:rPr>
                <w:noProof/>
                <w:webHidden/>
              </w:rPr>
              <w:tab/>
            </w:r>
            <w:r w:rsidR="00DD3961">
              <w:rPr>
                <w:noProof/>
                <w:webHidden/>
              </w:rPr>
              <w:fldChar w:fldCharType="begin"/>
            </w:r>
            <w:r w:rsidR="00DD3961">
              <w:rPr>
                <w:noProof/>
                <w:webHidden/>
              </w:rPr>
              <w:instrText xml:space="preserve"> PAGEREF _Toc8644441 \h </w:instrText>
            </w:r>
            <w:r w:rsidR="00DD3961">
              <w:rPr>
                <w:noProof/>
                <w:webHidden/>
              </w:rPr>
            </w:r>
            <w:r w:rsidR="00DD3961">
              <w:rPr>
                <w:noProof/>
                <w:webHidden/>
              </w:rPr>
              <w:fldChar w:fldCharType="separate"/>
            </w:r>
            <w:r w:rsidR="00DD3961">
              <w:rPr>
                <w:noProof/>
                <w:webHidden/>
              </w:rPr>
              <w:t>27</w:t>
            </w:r>
            <w:r w:rsidR="00DD3961">
              <w:rPr>
                <w:noProof/>
                <w:webHidden/>
              </w:rPr>
              <w:fldChar w:fldCharType="end"/>
            </w:r>
          </w:hyperlink>
        </w:p>
        <w:p w14:paraId="11D93AA6" w14:textId="71C95E9E" w:rsidR="00DD3961" w:rsidRDefault="00A23F23">
          <w:pPr>
            <w:pStyle w:val="TOC1"/>
            <w:tabs>
              <w:tab w:val="right" w:leader="dot" w:pos="8828"/>
            </w:tabs>
            <w:rPr>
              <w:rFonts w:eastAsiaTheme="minorEastAsia"/>
              <w:b w:val="0"/>
              <w:noProof/>
              <w:sz w:val="22"/>
              <w:szCs w:val="22"/>
              <w:lang w:val="en-US"/>
            </w:rPr>
          </w:pPr>
          <w:hyperlink w:anchor="_Toc8644442" w:history="1">
            <w:r w:rsidR="00DD3961" w:rsidRPr="00C840F2">
              <w:rPr>
                <w:rStyle w:val="Hyperlink"/>
                <w:noProof/>
              </w:rPr>
              <w:t>1) Executive summary of the gender equality plan</w:t>
            </w:r>
            <w:r w:rsidR="00DD3961">
              <w:rPr>
                <w:noProof/>
                <w:webHidden/>
              </w:rPr>
              <w:tab/>
            </w:r>
            <w:r w:rsidR="00DD3961">
              <w:rPr>
                <w:noProof/>
                <w:webHidden/>
              </w:rPr>
              <w:fldChar w:fldCharType="begin"/>
            </w:r>
            <w:r w:rsidR="00DD3961">
              <w:rPr>
                <w:noProof/>
                <w:webHidden/>
              </w:rPr>
              <w:instrText xml:space="preserve"> PAGEREF _Toc8644442 \h </w:instrText>
            </w:r>
            <w:r w:rsidR="00DD3961">
              <w:rPr>
                <w:noProof/>
                <w:webHidden/>
              </w:rPr>
            </w:r>
            <w:r w:rsidR="00DD3961">
              <w:rPr>
                <w:noProof/>
                <w:webHidden/>
              </w:rPr>
              <w:fldChar w:fldCharType="separate"/>
            </w:r>
            <w:r w:rsidR="00DD3961">
              <w:rPr>
                <w:noProof/>
                <w:webHidden/>
              </w:rPr>
              <w:t>31</w:t>
            </w:r>
            <w:r w:rsidR="00DD3961">
              <w:rPr>
                <w:noProof/>
                <w:webHidden/>
              </w:rPr>
              <w:fldChar w:fldCharType="end"/>
            </w:r>
          </w:hyperlink>
        </w:p>
        <w:p w14:paraId="55ABB883" w14:textId="54B6E3F5" w:rsidR="00DD3961" w:rsidRDefault="00A23F23">
          <w:pPr>
            <w:pStyle w:val="TOC1"/>
            <w:tabs>
              <w:tab w:val="right" w:leader="dot" w:pos="8828"/>
            </w:tabs>
            <w:rPr>
              <w:rFonts w:eastAsiaTheme="minorEastAsia"/>
              <w:b w:val="0"/>
              <w:noProof/>
              <w:sz w:val="22"/>
              <w:szCs w:val="22"/>
              <w:lang w:val="en-US"/>
            </w:rPr>
          </w:pPr>
          <w:hyperlink w:anchor="_Toc8644443" w:history="1">
            <w:r w:rsidR="00DD3961" w:rsidRPr="00C840F2">
              <w:rPr>
                <w:rStyle w:val="Hyperlink"/>
                <w:noProof/>
              </w:rPr>
              <w:t>2) Description of the Project</w:t>
            </w:r>
            <w:r w:rsidR="00DD3961">
              <w:rPr>
                <w:noProof/>
                <w:webHidden/>
              </w:rPr>
              <w:tab/>
            </w:r>
            <w:r w:rsidR="00DD3961">
              <w:rPr>
                <w:noProof/>
                <w:webHidden/>
              </w:rPr>
              <w:fldChar w:fldCharType="begin"/>
            </w:r>
            <w:r w:rsidR="00DD3961">
              <w:rPr>
                <w:noProof/>
                <w:webHidden/>
              </w:rPr>
              <w:instrText xml:space="preserve"> PAGEREF _Toc8644443 \h </w:instrText>
            </w:r>
            <w:r w:rsidR="00DD3961">
              <w:rPr>
                <w:noProof/>
                <w:webHidden/>
              </w:rPr>
            </w:r>
            <w:r w:rsidR="00DD3961">
              <w:rPr>
                <w:noProof/>
                <w:webHidden/>
              </w:rPr>
              <w:fldChar w:fldCharType="separate"/>
            </w:r>
            <w:r w:rsidR="00DD3961">
              <w:rPr>
                <w:noProof/>
                <w:webHidden/>
              </w:rPr>
              <w:t>32</w:t>
            </w:r>
            <w:r w:rsidR="00DD3961">
              <w:rPr>
                <w:noProof/>
                <w:webHidden/>
              </w:rPr>
              <w:fldChar w:fldCharType="end"/>
            </w:r>
          </w:hyperlink>
        </w:p>
        <w:p w14:paraId="37D25AFF" w14:textId="4D7159FB" w:rsidR="00DD3961" w:rsidRDefault="00A23F23">
          <w:pPr>
            <w:pStyle w:val="TOC1"/>
            <w:tabs>
              <w:tab w:val="right" w:leader="dot" w:pos="8828"/>
            </w:tabs>
            <w:rPr>
              <w:rFonts w:eastAsiaTheme="minorEastAsia"/>
              <w:b w:val="0"/>
              <w:noProof/>
              <w:sz w:val="22"/>
              <w:szCs w:val="22"/>
              <w:lang w:val="en-US"/>
            </w:rPr>
          </w:pPr>
          <w:hyperlink w:anchor="_Toc8644444" w:history="1">
            <w:r w:rsidR="00DD3961" w:rsidRPr="00C840F2">
              <w:rPr>
                <w:rStyle w:val="Hyperlink"/>
                <w:noProof/>
              </w:rPr>
              <w:t>3) Summary of legal framework</w:t>
            </w:r>
            <w:r w:rsidR="00DD3961">
              <w:rPr>
                <w:noProof/>
                <w:webHidden/>
              </w:rPr>
              <w:tab/>
            </w:r>
            <w:r w:rsidR="00DD3961">
              <w:rPr>
                <w:noProof/>
                <w:webHidden/>
              </w:rPr>
              <w:fldChar w:fldCharType="begin"/>
            </w:r>
            <w:r w:rsidR="00DD3961">
              <w:rPr>
                <w:noProof/>
                <w:webHidden/>
              </w:rPr>
              <w:instrText xml:space="preserve"> PAGEREF _Toc8644444 \h </w:instrText>
            </w:r>
            <w:r w:rsidR="00DD3961">
              <w:rPr>
                <w:noProof/>
                <w:webHidden/>
              </w:rPr>
            </w:r>
            <w:r w:rsidR="00DD3961">
              <w:rPr>
                <w:noProof/>
                <w:webHidden/>
              </w:rPr>
              <w:fldChar w:fldCharType="separate"/>
            </w:r>
            <w:r w:rsidR="00DD3961">
              <w:rPr>
                <w:noProof/>
                <w:webHidden/>
              </w:rPr>
              <w:t>33</w:t>
            </w:r>
            <w:r w:rsidR="00DD3961">
              <w:rPr>
                <w:noProof/>
                <w:webHidden/>
              </w:rPr>
              <w:fldChar w:fldCharType="end"/>
            </w:r>
          </w:hyperlink>
        </w:p>
        <w:p w14:paraId="1BF9C793" w14:textId="625214C0" w:rsidR="00DD3961" w:rsidRDefault="00A23F23">
          <w:pPr>
            <w:pStyle w:val="TOC1"/>
            <w:tabs>
              <w:tab w:val="right" w:leader="dot" w:pos="8828"/>
            </w:tabs>
            <w:rPr>
              <w:rFonts w:eastAsiaTheme="minorEastAsia"/>
              <w:b w:val="0"/>
              <w:noProof/>
              <w:sz w:val="22"/>
              <w:szCs w:val="22"/>
              <w:lang w:val="en-US"/>
            </w:rPr>
          </w:pPr>
          <w:hyperlink w:anchor="_Toc8644445" w:history="1">
            <w:r w:rsidR="00DD3961" w:rsidRPr="00C840F2">
              <w:rPr>
                <w:rStyle w:val="Hyperlink"/>
                <w:noProof/>
              </w:rPr>
              <w:t>4) Summary of social and gender assessment</w:t>
            </w:r>
            <w:r w:rsidR="00DD3961">
              <w:rPr>
                <w:noProof/>
                <w:webHidden/>
              </w:rPr>
              <w:tab/>
            </w:r>
            <w:r w:rsidR="00DD3961">
              <w:rPr>
                <w:noProof/>
                <w:webHidden/>
              </w:rPr>
              <w:fldChar w:fldCharType="begin"/>
            </w:r>
            <w:r w:rsidR="00DD3961">
              <w:rPr>
                <w:noProof/>
                <w:webHidden/>
              </w:rPr>
              <w:instrText xml:space="preserve"> PAGEREF _Toc8644445 \h </w:instrText>
            </w:r>
            <w:r w:rsidR="00DD3961">
              <w:rPr>
                <w:noProof/>
                <w:webHidden/>
              </w:rPr>
            </w:r>
            <w:r w:rsidR="00DD3961">
              <w:rPr>
                <w:noProof/>
                <w:webHidden/>
              </w:rPr>
              <w:fldChar w:fldCharType="separate"/>
            </w:r>
            <w:r w:rsidR="00DD3961">
              <w:rPr>
                <w:noProof/>
                <w:webHidden/>
              </w:rPr>
              <w:t>34</w:t>
            </w:r>
            <w:r w:rsidR="00DD3961">
              <w:rPr>
                <w:noProof/>
                <w:webHidden/>
              </w:rPr>
              <w:fldChar w:fldCharType="end"/>
            </w:r>
          </w:hyperlink>
        </w:p>
        <w:p w14:paraId="586A0B32" w14:textId="274FFD9A" w:rsidR="00DD3961" w:rsidRDefault="00A23F23">
          <w:pPr>
            <w:pStyle w:val="TOC1"/>
            <w:tabs>
              <w:tab w:val="right" w:leader="dot" w:pos="8828"/>
            </w:tabs>
            <w:rPr>
              <w:rFonts w:eastAsiaTheme="minorEastAsia"/>
              <w:b w:val="0"/>
              <w:noProof/>
              <w:sz w:val="22"/>
              <w:szCs w:val="22"/>
              <w:lang w:val="en-US"/>
            </w:rPr>
          </w:pPr>
          <w:hyperlink w:anchor="_Toc8644446" w:history="1">
            <w:r w:rsidR="00DD3961" w:rsidRPr="00C840F2">
              <w:rPr>
                <w:rStyle w:val="Hyperlink"/>
                <w:noProof/>
              </w:rPr>
              <w:t>5) General Description of actions and benefits for gender integration</w:t>
            </w:r>
            <w:r w:rsidR="00DD3961">
              <w:rPr>
                <w:noProof/>
                <w:webHidden/>
              </w:rPr>
              <w:tab/>
            </w:r>
            <w:r w:rsidR="00DD3961">
              <w:rPr>
                <w:noProof/>
                <w:webHidden/>
              </w:rPr>
              <w:fldChar w:fldCharType="begin"/>
            </w:r>
            <w:r w:rsidR="00DD3961">
              <w:rPr>
                <w:noProof/>
                <w:webHidden/>
              </w:rPr>
              <w:instrText xml:space="preserve"> PAGEREF _Toc8644446 \h </w:instrText>
            </w:r>
            <w:r w:rsidR="00DD3961">
              <w:rPr>
                <w:noProof/>
                <w:webHidden/>
              </w:rPr>
            </w:r>
            <w:r w:rsidR="00DD3961">
              <w:rPr>
                <w:noProof/>
                <w:webHidden/>
              </w:rPr>
              <w:fldChar w:fldCharType="separate"/>
            </w:r>
            <w:r w:rsidR="00DD3961">
              <w:rPr>
                <w:noProof/>
                <w:webHidden/>
              </w:rPr>
              <w:t>35</w:t>
            </w:r>
            <w:r w:rsidR="00DD3961">
              <w:rPr>
                <w:noProof/>
                <w:webHidden/>
              </w:rPr>
              <w:fldChar w:fldCharType="end"/>
            </w:r>
          </w:hyperlink>
        </w:p>
        <w:p w14:paraId="773C713A" w14:textId="1A091DE5" w:rsidR="00DD3961" w:rsidRDefault="00A23F23">
          <w:pPr>
            <w:pStyle w:val="TOC1"/>
            <w:tabs>
              <w:tab w:val="right" w:leader="dot" w:pos="8828"/>
            </w:tabs>
            <w:rPr>
              <w:rFonts w:eastAsiaTheme="minorEastAsia"/>
              <w:b w:val="0"/>
              <w:noProof/>
              <w:sz w:val="22"/>
              <w:szCs w:val="22"/>
              <w:lang w:val="en-US"/>
            </w:rPr>
          </w:pPr>
          <w:hyperlink w:anchor="_Toc8644447" w:history="1">
            <w:r w:rsidR="00DD3961" w:rsidRPr="00C840F2">
              <w:rPr>
                <w:rStyle w:val="Hyperlink"/>
                <w:noProof/>
              </w:rPr>
              <w:t>6) Monitoring and evaluation</w:t>
            </w:r>
            <w:r w:rsidR="00DD3961">
              <w:rPr>
                <w:noProof/>
                <w:webHidden/>
              </w:rPr>
              <w:tab/>
            </w:r>
            <w:r w:rsidR="00DD3961">
              <w:rPr>
                <w:noProof/>
                <w:webHidden/>
              </w:rPr>
              <w:fldChar w:fldCharType="begin"/>
            </w:r>
            <w:r w:rsidR="00DD3961">
              <w:rPr>
                <w:noProof/>
                <w:webHidden/>
              </w:rPr>
              <w:instrText xml:space="preserve"> PAGEREF _Toc8644447 \h </w:instrText>
            </w:r>
            <w:r w:rsidR="00DD3961">
              <w:rPr>
                <w:noProof/>
                <w:webHidden/>
              </w:rPr>
            </w:r>
            <w:r w:rsidR="00DD3961">
              <w:rPr>
                <w:noProof/>
                <w:webHidden/>
              </w:rPr>
              <w:fldChar w:fldCharType="separate"/>
            </w:r>
            <w:r w:rsidR="00DD3961">
              <w:rPr>
                <w:noProof/>
                <w:webHidden/>
              </w:rPr>
              <w:t>41</w:t>
            </w:r>
            <w:r w:rsidR="00DD3961">
              <w:rPr>
                <w:noProof/>
                <w:webHidden/>
              </w:rPr>
              <w:fldChar w:fldCharType="end"/>
            </w:r>
          </w:hyperlink>
        </w:p>
        <w:p w14:paraId="64D0A5C5" w14:textId="03579822" w:rsidR="00DD3961" w:rsidRDefault="00A23F23">
          <w:pPr>
            <w:pStyle w:val="TOC1"/>
            <w:tabs>
              <w:tab w:val="right" w:leader="dot" w:pos="8828"/>
            </w:tabs>
            <w:rPr>
              <w:rFonts w:eastAsiaTheme="minorEastAsia"/>
              <w:b w:val="0"/>
              <w:noProof/>
              <w:sz w:val="22"/>
              <w:szCs w:val="22"/>
              <w:lang w:val="en-US"/>
            </w:rPr>
          </w:pPr>
          <w:hyperlink w:anchor="_Toc8644448" w:history="1">
            <w:r w:rsidR="00DD3961" w:rsidRPr="00C840F2">
              <w:rPr>
                <w:rStyle w:val="Hyperlink"/>
                <w:noProof/>
              </w:rPr>
              <w:t>7) Budget and Responsibilities</w:t>
            </w:r>
            <w:r w:rsidR="00DD3961">
              <w:rPr>
                <w:noProof/>
                <w:webHidden/>
              </w:rPr>
              <w:tab/>
            </w:r>
            <w:r w:rsidR="00DD3961">
              <w:rPr>
                <w:noProof/>
                <w:webHidden/>
              </w:rPr>
              <w:fldChar w:fldCharType="begin"/>
            </w:r>
            <w:r w:rsidR="00DD3961">
              <w:rPr>
                <w:noProof/>
                <w:webHidden/>
              </w:rPr>
              <w:instrText xml:space="preserve"> PAGEREF _Toc8644448 \h </w:instrText>
            </w:r>
            <w:r w:rsidR="00DD3961">
              <w:rPr>
                <w:noProof/>
                <w:webHidden/>
              </w:rPr>
            </w:r>
            <w:r w:rsidR="00DD3961">
              <w:rPr>
                <w:noProof/>
                <w:webHidden/>
              </w:rPr>
              <w:fldChar w:fldCharType="separate"/>
            </w:r>
            <w:r w:rsidR="00DD3961">
              <w:rPr>
                <w:noProof/>
                <w:webHidden/>
              </w:rPr>
              <w:t>41</w:t>
            </w:r>
            <w:r w:rsidR="00DD3961">
              <w:rPr>
                <w:noProof/>
                <w:webHidden/>
              </w:rPr>
              <w:fldChar w:fldCharType="end"/>
            </w:r>
          </w:hyperlink>
        </w:p>
        <w:p w14:paraId="33745F64" w14:textId="3D13DC2B" w:rsidR="00DD3961" w:rsidRDefault="00A23F23">
          <w:pPr>
            <w:pStyle w:val="TOC1"/>
            <w:tabs>
              <w:tab w:val="right" w:leader="dot" w:pos="8828"/>
            </w:tabs>
            <w:rPr>
              <w:rFonts w:eastAsiaTheme="minorEastAsia"/>
              <w:b w:val="0"/>
              <w:noProof/>
              <w:sz w:val="22"/>
              <w:szCs w:val="22"/>
              <w:lang w:val="en-US"/>
            </w:rPr>
          </w:pPr>
          <w:hyperlink w:anchor="_Toc8644449" w:history="1">
            <w:r w:rsidR="00DD3961" w:rsidRPr="00C840F2">
              <w:rPr>
                <w:rStyle w:val="Hyperlink"/>
                <w:noProof/>
              </w:rPr>
              <w:t>8) Grievance Mechanism</w:t>
            </w:r>
            <w:r w:rsidR="00DD3961">
              <w:rPr>
                <w:noProof/>
                <w:webHidden/>
              </w:rPr>
              <w:tab/>
            </w:r>
            <w:r w:rsidR="00DD3961">
              <w:rPr>
                <w:noProof/>
                <w:webHidden/>
              </w:rPr>
              <w:fldChar w:fldCharType="begin"/>
            </w:r>
            <w:r w:rsidR="00DD3961">
              <w:rPr>
                <w:noProof/>
                <w:webHidden/>
              </w:rPr>
              <w:instrText xml:space="preserve"> PAGEREF _Toc8644449 \h </w:instrText>
            </w:r>
            <w:r w:rsidR="00DD3961">
              <w:rPr>
                <w:noProof/>
                <w:webHidden/>
              </w:rPr>
            </w:r>
            <w:r w:rsidR="00DD3961">
              <w:rPr>
                <w:noProof/>
                <w:webHidden/>
              </w:rPr>
              <w:fldChar w:fldCharType="separate"/>
            </w:r>
            <w:r w:rsidR="00DD3961">
              <w:rPr>
                <w:noProof/>
                <w:webHidden/>
              </w:rPr>
              <w:t>42</w:t>
            </w:r>
            <w:r w:rsidR="00DD3961">
              <w:rPr>
                <w:noProof/>
                <w:webHidden/>
              </w:rPr>
              <w:fldChar w:fldCharType="end"/>
            </w:r>
          </w:hyperlink>
        </w:p>
        <w:p w14:paraId="127C5D97" w14:textId="383096A3" w:rsidR="00DD3961" w:rsidRDefault="00A23F23">
          <w:pPr>
            <w:pStyle w:val="TOC1"/>
            <w:tabs>
              <w:tab w:val="right" w:leader="dot" w:pos="8828"/>
            </w:tabs>
            <w:rPr>
              <w:rFonts w:eastAsiaTheme="minorEastAsia"/>
              <w:b w:val="0"/>
              <w:noProof/>
              <w:sz w:val="22"/>
              <w:szCs w:val="22"/>
              <w:lang w:val="en-US"/>
            </w:rPr>
          </w:pPr>
          <w:hyperlink w:anchor="_Toc8644450" w:history="1">
            <w:r w:rsidR="00DD3961" w:rsidRPr="00C840F2">
              <w:rPr>
                <w:rStyle w:val="Hyperlink"/>
                <w:noProof/>
              </w:rPr>
              <w:t>9) Bibliography</w:t>
            </w:r>
            <w:r w:rsidR="00DD3961">
              <w:rPr>
                <w:noProof/>
                <w:webHidden/>
              </w:rPr>
              <w:tab/>
            </w:r>
            <w:r w:rsidR="00DD3961">
              <w:rPr>
                <w:noProof/>
                <w:webHidden/>
              </w:rPr>
              <w:fldChar w:fldCharType="begin"/>
            </w:r>
            <w:r w:rsidR="00DD3961">
              <w:rPr>
                <w:noProof/>
                <w:webHidden/>
              </w:rPr>
              <w:instrText xml:space="preserve"> PAGEREF _Toc8644450 \h </w:instrText>
            </w:r>
            <w:r w:rsidR="00DD3961">
              <w:rPr>
                <w:noProof/>
                <w:webHidden/>
              </w:rPr>
            </w:r>
            <w:r w:rsidR="00DD3961">
              <w:rPr>
                <w:noProof/>
                <w:webHidden/>
              </w:rPr>
              <w:fldChar w:fldCharType="separate"/>
            </w:r>
            <w:r w:rsidR="00DD3961">
              <w:rPr>
                <w:noProof/>
                <w:webHidden/>
              </w:rPr>
              <w:t>46</w:t>
            </w:r>
            <w:r w:rsidR="00DD3961">
              <w:rPr>
                <w:noProof/>
                <w:webHidden/>
              </w:rPr>
              <w:fldChar w:fldCharType="end"/>
            </w:r>
          </w:hyperlink>
        </w:p>
        <w:p w14:paraId="481F30AA" w14:textId="10A582A0" w:rsidR="00DD3961" w:rsidRDefault="00A23F23">
          <w:pPr>
            <w:pStyle w:val="TOC1"/>
            <w:tabs>
              <w:tab w:val="right" w:leader="dot" w:pos="8828"/>
            </w:tabs>
            <w:rPr>
              <w:rFonts w:eastAsiaTheme="minorEastAsia"/>
              <w:b w:val="0"/>
              <w:noProof/>
              <w:sz w:val="22"/>
              <w:szCs w:val="22"/>
              <w:lang w:val="en-US"/>
            </w:rPr>
          </w:pPr>
          <w:hyperlink w:anchor="_Toc8644451" w:history="1">
            <w:r w:rsidR="00DD3961" w:rsidRPr="00C840F2">
              <w:rPr>
                <w:rStyle w:val="Hyperlink"/>
                <w:noProof/>
              </w:rPr>
              <w:t>10)  Summary of all activities - inclusion of gender equality approach in the project</w:t>
            </w:r>
            <w:r w:rsidR="00DD3961">
              <w:rPr>
                <w:noProof/>
                <w:webHidden/>
              </w:rPr>
              <w:tab/>
            </w:r>
            <w:r w:rsidR="00DD3961">
              <w:rPr>
                <w:noProof/>
                <w:webHidden/>
              </w:rPr>
              <w:fldChar w:fldCharType="begin"/>
            </w:r>
            <w:r w:rsidR="00DD3961">
              <w:rPr>
                <w:noProof/>
                <w:webHidden/>
              </w:rPr>
              <w:instrText xml:space="preserve"> PAGEREF _Toc8644451 \h </w:instrText>
            </w:r>
            <w:r w:rsidR="00DD3961">
              <w:rPr>
                <w:noProof/>
                <w:webHidden/>
              </w:rPr>
            </w:r>
            <w:r w:rsidR="00DD3961">
              <w:rPr>
                <w:noProof/>
                <w:webHidden/>
              </w:rPr>
              <w:fldChar w:fldCharType="separate"/>
            </w:r>
            <w:r w:rsidR="00DD3961">
              <w:rPr>
                <w:noProof/>
                <w:webHidden/>
              </w:rPr>
              <w:t>48</w:t>
            </w:r>
            <w:r w:rsidR="00DD3961">
              <w:rPr>
                <w:noProof/>
                <w:webHidden/>
              </w:rPr>
              <w:fldChar w:fldCharType="end"/>
            </w:r>
          </w:hyperlink>
        </w:p>
        <w:p w14:paraId="6A9D0A1C" w14:textId="6F0E8E0D" w:rsidR="00DD3961" w:rsidRDefault="00DD3961" w:rsidP="00DD3961">
          <w:r>
            <w:rPr>
              <w:b/>
              <w:bCs/>
            </w:rPr>
            <w:fldChar w:fldCharType="end"/>
          </w:r>
        </w:p>
      </w:sdtContent>
    </w:sdt>
    <w:p w14:paraId="2599BFEC"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16647BDB"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27F04019"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46D7DA1F"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61D7A556"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28EEB86C" w14:textId="3890E60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29D57356" w14:textId="7CB66715"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7C9D7D59" w14:textId="40DEAEC0"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39E2D97C" w14:textId="4EBE4CCD"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75953DBE" w14:textId="796EAA1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25802F2A" w14:textId="419E2D02"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6C317BE4" w14:textId="416AD5AF"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3A947E28" w14:textId="6DB8875D"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5B2DFBE3" w14:textId="0E250C1C"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3E4E3D14" w14:textId="5A89F6DD"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79D06AE0" w14:textId="4BA11779"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5460F213"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6925DB74"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6C60D145"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594945FE" w14:textId="77777777" w:rsidR="00DD3961" w:rsidRDefault="00DD3961" w:rsidP="00DD3961">
      <w:pPr>
        <w:pStyle w:val="Heading1"/>
        <w:rPr>
          <w:rFonts w:asciiTheme="minorHAnsi" w:hAnsiTheme="minorHAnsi"/>
          <w:sz w:val="24"/>
          <w:szCs w:val="24"/>
        </w:rPr>
      </w:pPr>
      <w:bookmarkStart w:id="2" w:name="_Toc8644416"/>
      <w:bookmarkStart w:id="3" w:name="_Toc8644517"/>
      <w:r>
        <w:rPr>
          <w:rFonts w:asciiTheme="minorHAnsi" w:hAnsiTheme="minorHAnsi"/>
          <w:sz w:val="24"/>
          <w:szCs w:val="24"/>
        </w:rPr>
        <w:t>1. Background</w:t>
      </w:r>
      <w:bookmarkEnd w:id="2"/>
      <w:bookmarkEnd w:id="3"/>
    </w:p>
    <w:p w14:paraId="6B0EF9E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Global Environment Facility (GEF) has recognized gender equality as a transversal priority to achieving global environmental benefits. Together with GEF agencies, they have made significant progress in incorporating gender perspectives in recent years. These advances have been guided by several policies and strategies, such as the Policy on Gender Mainstreaming (GEF, 2012a); GEF 2020 strategy (GEF, 2015b); and the Action Plan for Gender Equality (GEF, 2014).</w:t>
      </w:r>
    </w:p>
    <w:p w14:paraId="38965B4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B38818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GEF policy on gender mainstreaming seeks to ensure equal opportunities for women and men to participate, contribute and benefit from the activities financed by this international organization. In addition, it raises the importance of moving from a "do no harm" approach to a "doing good" approach with a gender perspective (</w:t>
      </w:r>
      <w:r>
        <w:rPr>
          <w:rFonts w:ascii="Calibri" w:eastAsia="Times New Roman" w:hAnsi="Calibri" w:cs="Calibri"/>
          <w:i/>
          <w:iCs/>
          <w:color w:val="000000"/>
          <w:lang w:eastAsia="en-CA"/>
        </w:rPr>
        <w:t>Gender-responsive approach</w:t>
      </w:r>
      <w:r>
        <w:rPr>
          <w:rFonts w:ascii="Calibri" w:eastAsia="Times New Roman" w:hAnsi="Calibri" w:cs="Calibri"/>
          <w:color w:val="000000"/>
          <w:lang w:eastAsia="en-CA"/>
        </w:rPr>
        <w:t>).</w:t>
      </w:r>
    </w:p>
    <w:p w14:paraId="41CE87A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B375A6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It also proposes the integration of gender-sensitive actions from design to implementation; monitoring and evaluation to ensure that GEF programs and projects are not only designed with a good understanding of gender differences, roles, interests and relevant needs, but also conducting activities that contribute to equal access and control over resources and decision-making, while empowering women and girls.</w:t>
      </w:r>
    </w:p>
    <w:p w14:paraId="0593EC80" w14:textId="77777777" w:rsidR="00DD3961" w:rsidRDefault="00DD3961" w:rsidP="00DD3961">
      <w:pPr>
        <w:spacing w:before="280" w:after="28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For the United Nations Development Program (UNDP), "Gender equality is a fundamental human right and a necessary foundation for a peaceful, prosperous and sustainable world. It is also a key aspect of UNDP support to countries for the implementation and achievement of Agenda 2030 for Sustainable Development, the Sustainable Development Goals and other commitments made by Member States "(UNDP, 2018).</w:t>
      </w:r>
    </w:p>
    <w:p w14:paraId="16E49E21" w14:textId="77777777" w:rsidR="00DD3961" w:rsidRDefault="00DD3961" w:rsidP="00DD3961">
      <w:pPr>
        <w:spacing w:before="280" w:after="28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gender equality strategy outlines UNDP commitment to: a) strengthen interventions that address structural changes that accelerate gender equality and women's empowerment, rather than participating primarily in programs focused on women as beneficiaries; b) strengthen the integration of gender equality in UNDP work on the environment, energy, crisis response and recovery; c) harmonize UNDP programming with its institutional messages on the importance of gender equality and the empowerment of women for the achievement of sustainable development; and d) take advantage of the institutional mechanisms for gender mainstreaming, such as the seal of gender equality and the gender marker, which establish measurable criteria and incentives to promote progress (UNDP, 2018). </w:t>
      </w:r>
    </w:p>
    <w:p w14:paraId="5B93113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this context, and within the framework of the sixth replenishment of the GEF, the Colombian and Ecuadorian governments presented the conceptual note of the project "Integrated Management of Water Resources of the binational basins Mira,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and Carchi -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Colombia - Ecuador" by strengthening of institutional and management capacities at regional, local and community level to achieve environmental and socioeconomic benefits.</w:t>
      </w:r>
      <w:r>
        <w:rPr>
          <w:rFonts w:ascii="Corbel" w:eastAsia="Times New Roman" w:hAnsi="Corbel" w:cs="Times New Roman"/>
          <w:color w:val="000000"/>
          <w:sz w:val="48"/>
          <w:szCs w:val="48"/>
          <w:lang w:eastAsia="en-CA"/>
        </w:rPr>
        <w:t xml:space="preserve"> </w:t>
      </w:r>
    </w:p>
    <w:p w14:paraId="3408FBF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7B641E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Once approved, and within the framework of the project development process (PRODOC), the present gender diagnosis was made as an integral part of the situation analysis. This is required for the generation of concrete actions that include a gender equality approach and empowerment of women, as well as a gender inclusion plan to be developed later. For this purpose, the mandates and institutional policies of GEF and UNDP have been followed as guiding principles.</w:t>
      </w:r>
    </w:p>
    <w:p w14:paraId="060A8C8B" w14:textId="77777777" w:rsidR="00DD3961" w:rsidRDefault="00DD3961" w:rsidP="00DD3961">
      <w:pPr>
        <w:pStyle w:val="Heading1"/>
        <w:rPr>
          <w:rFonts w:asciiTheme="minorHAnsi" w:hAnsiTheme="minorHAnsi"/>
          <w:sz w:val="24"/>
          <w:szCs w:val="24"/>
        </w:rPr>
      </w:pPr>
      <w:bookmarkStart w:id="4" w:name="_Toc8644417"/>
      <w:bookmarkStart w:id="5" w:name="_Toc8644518"/>
      <w:r>
        <w:rPr>
          <w:rFonts w:asciiTheme="minorHAnsi" w:hAnsiTheme="minorHAnsi"/>
          <w:sz w:val="24"/>
          <w:szCs w:val="24"/>
        </w:rPr>
        <w:t>2. Introduction</w:t>
      </w:r>
      <w:bookmarkEnd w:id="4"/>
      <w:bookmarkEnd w:id="5"/>
      <w:r>
        <w:rPr>
          <w:rFonts w:asciiTheme="minorHAnsi" w:hAnsiTheme="minorHAnsi"/>
          <w:sz w:val="24"/>
          <w:szCs w:val="24"/>
        </w:rPr>
        <w:t xml:space="preserve"> </w:t>
      </w:r>
    </w:p>
    <w:p w14:paraId="5DBE534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project site is the Mira,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and Carchi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transboundary river basins. The three basins located in the provinces and border departments of Ecuador and Colombia share similar realities in several aspects but</w:t>
      </w:r>
      <w:proofErr w:type="gramStart"/>
      <w:r>
        <w:rPr>
          <w:rFonts w:ascii="Calibri" w:eastAsia="Times New Roman" w:hAnsi="Calibri" w:cs="Calibri"/>
          <w:color w:val="000000"/>
          <w:lang w:eastAsia="en-CA"/>
        </w:rPr>
        <w:t>, in particular, they</w:t>
      </w:r>
      <w:proofErr w:type="gramEnd"/>
      <w:r>
        <w:rPr>
          <w:rFonts w:ascii="Calibri" w:eastAsia="Times New Roman" w:hAnsi="Calibri" w:cs="Calibri"/>
          <w:color w:val="000000"/>
          <w:lang w:eastAsia="en-CA"/>
        </w:rPr>
        <w:t xml:space="preserve"> are the territory of a great diversity of actors, with dissimilar realities around water, depending on the geographical location in the basin. </w:t>
      </w:r>
    </w:p>
    <w:p w14:paraId="698D15F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490A2C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this context, and with the aim of contributing to an adequate design and execution of the project with a gender-sensitive approach and properly integrating key actors and local populations, following the institutional policies of GEF and UNDP, the present analysis is carried out.</w:t>
      </w:r>
    </w:p>
    <w:p w14:paraId="1BC0DA4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08180B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starting point was the theory of change approach developed for this project and its causal analysis, which showed, as a core aspect, the conditions of participation and decision making in the governance of water through the water and irrigation boards, community action boards, and aqueduct management boards. This issue has been identified as the central axis for the gender analysis.</w:t>
      </w:r>
    </w:p>
    <w:p w14:paraId="13331664" w14:textId="77777777" w:rsidR="00DD3961" w:rsidRDefault="00DD3961" w:rsidP="00DD3961">
      <w:pPr>
        <w:pStyle w:val="Heading1"/>
        <w:rPr>
          <w:rFonts w:asciiTheme="minorHAnsi" w:hAnsiTheme="minorHAnsi"/>
          <w:sz w:val="24"/>
          <w:szCs w:val="24"/>
        </w:rPr>
      </w:pPr>
      <w:bookmarkStart w:id="6" w:name="_Toc8644418"/>
      <w:bookmarkStart w:id="7" w:name="_Toc8644519"/>
      <w:r>
        <w:rPr>
          <w:rFonts w:asciiTheme="minorHAnsi" w:hAnsiTheme="minorHAnsi"/>
          <w:sz w:val="24"/>
          <w:szCs w:val="24"/>
        </w:rPr>
        <w:t>3. Methodology</w:t>
      </w:r>
      <w:bookmarkEnd w:id="6"/>
      <w:bookmarkEnd w:id="7"/>
      <w:r>
        <w:rPr>
          <w:rFonts w:asciiTheme="minorHAnsi" w:hAnsiTheme="minorHAnsi"/>
          <w:sz w:val="24"/>
          <w:szCs w:val="24"/>
        </w:rPr>
        <w:t xml:space="preserve"> </w:t>
      </w:r>
    </w:p>
    <w:p w14:paraId="29EEB91F"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8" w:name="_Toc8644419"/>
      <w:bookmarkStart w:id="9" w:name="_Toc8644520"/>
      <w:r>
        <w:rPr>
          <w:rFonts w:ascii="Calibri" w:eastAsia="Times New Roman" w:hAnsi="Calibri" w:cs="Calibri"/>
          <w:b/>
          <w:bCs/>
          <w:color w:val="000000"/>
          <w:sz w:val="24"/>
          <w:szCs w:val="24"/>
          <w:lang w:eastAsia="en-CA"/>
        </w:rPr>
        <w:t>3.1. Conceptual approach used</w:t>
      </w:r>
      <w:bookmarkEnd w:id="8"/>
      <w:bookmarkEnd w:id="9"/>
    </w:p>
    <w:p w14:paraId="464095F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6C68F1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At the conceptual level, this analysis integrated the concepts of gender equality and women's empowerment, used by UNDP:</w:t>
      </w:r>
    </w:p>
    <w:p w14:paraId="7A6CDF3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DBD1E99"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Gender equality refers to: "equal rights, responsibilities and opportunities for women and men and girls and boys. Equality does not mean that women and men become the same, but that the rights, responsibilities and opportunities of women and men will not depend on the sex with which they were born. Gender equality assumes that the interests, needs and priorities of both women and men will be </w:t>
      </w:r>
      <w:proofErr w:type="gramStart"/>
      <w:r>
        <w:rPr>
          <w:rFonts w:ascii="Calibri" w:eastAsia="Times New Roman" w:hAnsi="Calibri" w:cs="Calibri"/>
          <w:color w:val="000000"/>
          <w:lang w:eastAsia="en-CA"/>
        </w:rPr>
        <w:t>taken into account</w:t>
      </w:r>
      <w:proofErr w:type="gramEnd"/>
      <w:r>
        <w:rPr>
          <w:rFonts w:ascii="Calibri" w:eastAsia="Times New Roman" w:hAnsi="Calibri" w:cs="Calibri"/>
          <w:color w:val="000000"/>
          <w:lang w:eastAsia="en-CA"/>
        </w:rPr>
        <w:t>, recognizing the diversity of different groups of women and men" (UNDP, 2014).</w:t>
      </w:r>
    </w:p>
    <w:p w14:paraId="1B4B9BB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EA2786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Moreover, the concept of empowering women,  "has five components: the sense of self-esteem of women; your right to exercise and determine options; your right to have access to opportunities and resources; his right to power to control his own life, both inside and outside the home; and its ability to determine the orientation of social change to create a more just economic and social order at the national and international level" (UNDP, 2014).</w:t>
      </w:r>
    </w:p>
    <w:p w14:paraId="79F2D47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3CE0ED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These concepts were used to perform the analysis of the "gender gap" variables identified by the GEF:</w:t>
      </w:r>
    </w:p>
    <w:p w14:paraId="431CCCC9" w14:textId="77777777" w:rsidR="00DD3961" w:rsidRDefault="00DD3961" w:rsidP="00DD3961">
      <w:pPr>
        <w:pStyle w:val="ListParagraph"/>
        <w:numPr>
          <w:ilvl w:val="0"/>
          <w:numId w:val="25"/>
        </w:num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Unequal Access and control to natural resources; </w:t>
      </w:r>
    </w:p>
    <w:p w14:paraId="42E92425" w14:textId="77777777" w:rsidR="00DD3961" w:rsidRDefault="00DD3961" w:rsidP="00DD3961">
      <w:pPr>
        <w:pStyle w:val="ListParagraph"/>
        <w:numPr>
          <w:ilvl w:val="0"/>
          <w:numId w:val="25"/>
        </w:numPr>
        <w:spacing w:after="0" w:line="240" w:lineRule="auto"/>
        <w:rPr>
          <w:rFonts w:ascii="Times New Roman" w:eastAsia="Times New Roman" w:hAnsi="Times New Roman" w:cs="Times New Roman"/>
          <w:sz w:val="24"/>
          <w:szCs w:val="24"/>
          <w:lang w:eastAsia="en-CA"/>
        </w:rPr>
      </w:pPr>
      <w:r>
        <w:rPr>
          <w:rFonts w:ascii="Calibri" w:eastAsia="Times New Roman" w:hAnsi="Calibri" w:cs="Calibri"/>
          <w:iCs/>
          <w:color w:val="000000"/>
          <w:lang w:eastAsia="en-CA"/>
        </w:rPr>
        <w:t>Unbalanced participation and decision making in environmental planning and governance at all levels;</w:t>
      </w:r>
    </w:p>
    <w:p w14:paraId="2F7CBB4E" w14:textId="10ECB2C6" w:rsidR="00DD3961" w:rsidRPr="00DD3961" w:rsidRDefault="00DD3961" w:rsidP="00DD3961">
      <w:pPr>
        <w:pStyle w:val="ListParagraph"/>
        <w:numPr>
          <w:ilvl w:val="0"/>
          <w:numId w:val="25"/>
        </w:num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Uneven access to socioeconomic services and benefits.</w:t>
      </w:r>
    </w:p>
    <w:p w14:paraId="79AE7994"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10" w:name="_Toc8644420"/>
      <w:bookmarkStart w:id="11" w:name="_Toc8644521"/>
      <w:r>
        <w:rPr>
          <w:rFonts w:ascii="Calibri" w:eastAsia="Times New Roman" w:hAnsi="Calibri" w:cs="Calibri"/>
          <w:b/>
          <w:bCs/>
          <w:color w:val="000000"/>
          <w:sz w:val="24"/>
          <w:szCs w:val="24"/>
          <w:lang w:eastAsia="en-CA"/>
        </w:rPr>
        <w:t>3.2. Analysis Methodology</w:t>
      </w:r>
      <w:bookmarkEnd w:id="10"/>
      <w:bookmarkEnd w:id="11"/>
      <w:r>
        <w:rPr>
          <w:rFonts w:ascii="Calibri" w:eastAsia="Times New Roman" w:hAnsi="Calibri" w:cs="Calibri"/>
          <w:b/>
          <w:bCs/>
          <w:color w:val="000000"/>
          <w:sz w:val="24"/>
          <w:szCs w:val="24"/>
          <w:lang w:eastAsia="en-CA"/>
        </w:rPr>
        <w:t xml:space="preserve"> </w:t>
      </w:r>
    </w:p>
    <w:p w14:paraId="357B259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05DF16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gender analysis was carried out in four phases: </w:t>
      </w:r>
    </w:p>
    <w:p w14:paraId="3F02538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74A755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1. Development of theory of change of the project</w:t>
      </w:r>
    </w:p>
    <w:p w14:paraId="5E83B57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 first exercise was carried out with the</w:t>
      </w:r>
      <w:r>
        <w:t xml:space="preserve"> project formulation team </w:t>
      </w:r>
      <w:r>
        <w:rPr>
          <w:rFonts w:ascii="Calibri" w:eastAsia="Times New Roman" w:hAnsi="Calibri" w:cs="Calibri"/>
          <w:color w:val="000000"/>
          <w:lang w:eastAsia="en-CA"/>
        </w:rPr>
        <w:t>to develop the methodological approach based on the theory of change and to generate a causal analysis about the problems, barriers and main causes that affect the development of the project. The following were identified as root causes: water and soil contamination, the deterioration of water catchment and regulation ecosystems, the degradation of soils and native vegetation, as the main problems of the study basins. In turn, weak water governance, insufficient oversight and control capacity, and limited capacity to apply integrated water resources management.</w:t>
      </w:r>
    </w:p>
    <w:p w14:paraId="7DD6490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0BDBDA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this framework the present analysis focused on the social aspect of the root causes identified, that is, on weak water governance. In this way, drinking water and irrigation boards were taken as the basis of the organization and social representation around the management of water resources in the study basins. It is from this central theme that the gathering of information and the subsequent gender analysis were focused. </w:t>
      </w:r>
    </w:p>
    <w:p w14:paraId="2A22B88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10D86E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2. Survey of secondary information</w:t>
      </w:r>
    </w:p>
    <w:p w14:paraId="4EFD3BC9"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Several documents were identified and examined to contextualize the study area, especially the diagnoses of parochial development and territorial planning plans and other gender studies.</w:t>
      </w:r>
    </w:p>
    <w:p w14:paraId="63EB6F20" w14:textId="77777777" w:rsidR="00DD3961" w:rsidRDefault="00DD3961" w:rsidP="00DD3961">
      <w:pPr>
        <w:spacing w:after="0" w:line="240" w:lineRule="auto"/>
        <w:jc w:val="both"/>
        <w:rPr>
          <w:rFonts w:ascii="Calibri" w:eastAsia="Times New Roman" w:hAnsi="Calibri" w:cs="Calibri"/>
          <w:color w:val="000000"/>
          <w:lang w:eastAsia="en-CA"/>
        </w:rPr>
      </w:pPr>
    </w:p>
    <w:p w14:paraId="5A13080C"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In addition, demographic information was collected from the national statistics institutes of both countries (INEC, DANE), as well as from the Water Secretariat of Ecuador, regarding the participation and political representation of men and women in the various forms of water organization such as: potable water boards or aqueducts and irrigation boards of the study basins.</w:t>
      </w:r>
    </w:p>
    <w:p w14:paraId="2728A40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D28869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3. Information gathering in workshops with actors and experts</w:t>
      </w:r>
    </w:p>
    <w:p w14:paraId="76BF381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Information was collected on the variables established for the analysis </w:t>
      </w:r>
      <w:proofErr w:type="gramStart"/>
      <w:r>
        <w:rPr>
          <w:rFonts w:ascii="Calibri" w:eastAsia="Times New Roman" w:hAnsi="Calibri" w:cs="Calibri"/>
          <w:color w:val="000000"/>
          <w:lang w:eastAsia="en-CA"/>
        </w:rPr>
        <w:t>through the use of</w:t>
      </w:r>
      <w:proofErr w:type="gramEnd"/>
      <w:r>
        <w:rPr>
          <w:rFonts w:ascii="Calibri" w:eastAsia="Times New Roman" w:hAnsi="Calibri" w:cs="Calibri"/>
          <w:color w:val="000000"/>
          <w:lang w:eastAsia="en-CA"/>
        </w:rPr>
        <w:t xml:space="preserve"> participatory research tools, which were focused on two population segments: local actors and people with a history of work on gender issues. </w:t>
      </w:r>
    </w:p>
    <w:p w14:paraId="20D8059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A5BBBC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Within the framework of the project design, a bi-national workshop with actors from the local communities of the three watersheds, a focus group in Ecuador with experts, and a workshop with women involved in gender projects and initiatives participating in a meeting on gender and water in Colombia were held. In addition, four interviews were done with representatives of institutions or organizations that are developing projects in the basins.</w:t>
      </w:r>
    </w:p>
    <w:p w14:paraId="4C3FFBD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DAE321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4. Gender analysis document:</w:t>
      </w:r>
    </w:p>
    <w:p w14:paraId="0A0ABCD5" w14:textId="63930941" w:rsidR="00DD3961" w:rsidRP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Once the information was collected and systematized, an analysis of the study basins was organized and relevant information about the two countries was drafted.  </w:t>
      </w:r>
    </w:p>
    <w:p w14:paraId="58FAF3B2" w14:textId="77777777" w:rsidR="00DD3961" w:rsidRDefault="00DD3961" w:rsidP="00DD3961">
      <w:pPr>
        <w:spacing w:after="0" w:line="240" w:lineRule="auto"/>
        <w:jc w:val="both"/>
        <w:rPr>
          <w:rFonts w:ascii="Calibri" w:eastAsia="Times New Roman" w:hAnsi="Calibri" w:cs="Calibri"/>
          <w:color w:val="000000"/>
          <w:lang w:eastAsia="en-CA"/>
        </w:rPr>
      </w:pPr>
    </w:p>
    <w:p w14:paraId="2E63D5F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analysis of the variables (identified as GEF gender gaps) was based on the following structure:</w:t>
      </w:r>
    </w:p>
    <w:p w14:paraId="471470E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63CE1CD" w14:textId="4C1E8B33" w:rsidR="00DD3961" w:rsidRDefault="00DD3961" w:rsidP="00DD3961">
      <w:pPr>
        <w:spacing w:after="0" w:line="240" w:lineRule="auto"/>
        <w:jc w:val="both"/>
        <w:rPr>
          <w:rFonts w:ascii="Times New Roman" w:eastAsia="Times New Roman" w:hAnsi="Times New Roman" w:cs="Times New Roman"/>
          <w:sz w:val="24"/>
          <w:szCs w:val="24"/>
          <w:lang w:eastAsia="en-CA"/>
        </w:rPr>
      </w:pPr>
      <w:r>
        <w:rPr>
          <w:noProof/>
          <w:lang w:eastAsia="es-ES"/>
        </w:rPr>
        <w:drawing>
          <wp:inline distT="0" distB="0" distL="0" distR="0" wp14:anchorId="28BA648C" wp14:editId="394FF95F">
            <wp:extent cx="5143500" cy="3581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0" cy="3581400"/>
                    </a:xfrm>
                    <a:prstGeom prst="rect">
                      <a:avLst/>
                    </a:prstGeom>
                    <a:noFill/>
                    <a:ln>
                      <a:noFill/>
                    </a:ln>
                  </pic:spPr>
                </pic:pic>
              </a:graphicData>
            </a:graphic>
          </wp:inline>
        </w:drawing>
      </w:r>
    </w:p>
    <w:p w14:paraId="18AF6E09" w14:textId="77777777" w:rsidR="00DD3961" w:rsidRDefault="00DD3961" w:rsidP="00DD3961">
      <w:pPr>
        <w:spacing w:after="0" w:line="240" w:lineRule="auto"/>
        <w:jc w:val="both"/>
        <w:rPr>
          <w:rFonts w:ascii="Calibri" w:eastAsia="Times New Roman" w:hAnsi="Calibri" w:cs="Calibri"/>
          <w:i/>
          <w:iCs/>
          <w:color w:val="000000"/>
          <w:sz w:val="18"/>
          <w:szCs w:val="20"/>
          <w:lang w:eastAsia="en-CA"/>
        </w:rPr>
      </w:pPr>
    </w:p>
    <w:p w14:paraId="7E8059BA" w14:textId="4243E3C0"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i/>
          <w:iCs/>
          <w:color w:val="000000"/>
          <w:sz w:val="18"/>
          <w:szCs w:val="20"/>
          <w:lang w:eastAsia="en-CA"/>
        </w:rPr>
        <w:t>Source</w:t>
      </w:r>
      <w:r>
        <w:rPr>
          <w:rFonts w:ascii="Calibri" w:eastAsia="Times New Roman" w:hAnsi="Calibri" w:cs="Calibri"/>
          <w:i/>
          <w:iCs/>
          <w:color w:val="000000"/>
          <w:sz w:val="20"/>
          <w:szCs w:val="20"/>
          <w:lang w:eastAsia="en-CA"/>
        </w:rPr>
        <w:t xml:space="preserve">: </w:t>
      </w:r>
      <w:r>
        <w:rPr>
          <w:rFonts w:ascii="Calibri" w:eastAsia="Times New Roman" w:hAnsi="Calibri" w:cs="Calibri"/>
          <w:i/>
          <w:iCs/>
          <w:color w:val="000000"/>
          <w:sz w:val="18"/>
          <w:szCs w:val="20"/>
          <w:lang w:eastAsia="en-CA"/>
        </w:rPr>
        <w:t xml:space="preserve">Aracely </w:t>
      </w:r>
      <w:proofErr w:type="spellStart"/>
      <w:r>
        <w:rPr>
          <w:rFonts w:ascii="Calibri" w:eastAsia="Times New Roman" w:hAnsi="Calibri" w:cs="Calibri"/>
          <w:i/>
          <w:iCs/>
          <w:color w:val="000000"/>
          <w:sz w:val="18"/>
          <w:szCs w:val="20"/>
          <w:lang w:eastAsia="en-CA"/>
        </w:rPr>
        <w:t>Pazmiño</w:t>
      </w:r>
      <w:proofErr w:type="spellEnd"/>
    </w:p>
    <w:p w14:paraId="41850A3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CFF2531"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12" w:name="_Toc8644421"/>
      <w:bookmarkStart w:id="13" w:name="_Toc8644522"/>
      <w:r>
        <w:rPr>
          <w:rFonts w:ascii="Calibri" w:eastAsia="Times New Roman" w:hAnsi="Calibri" w:cs="Calibri"/>
          <w:b/>
          <w:bCs/>
          <w:color w:val="000000"/>
          <w:sz w:val="24"/>
          <w:szCs w:val="24"/>
          <w:lang w:eastAsia="en-CA"/>
        </w:rPr>
        <w:t>3.3 Research tools</w:t>
      </w:r>
      <w:bookmarkEnd w:id="12"/>
      <w:bookmarkEnd w:id="13"/>
    </w:p>
    <w:p w14:paraId="03427C9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8B200F3"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The participatory tools used to collect the information were:</w:t>
      </w:r>
    </w:p>
    <w:p w14:paraId="4FDB332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74778C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 xml:space="preserve">Workshop with key bi-national stakeholders </w:t>
      </w:r>
    </w:p>
    <w:p w14:paraId="7BF22B6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the framework of the binational consultation workshop for construction of the PRODOC, held in Ibarra on September 21, 2018, an activity was carried out with approximately 33 key actors linked to the project areas. For this, two working groups were organized, having as a geographical base the binational basins: Mira,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and Carchi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The working groups identified the main problems and barriers regarding the participation of men and women in the context of water management. </w:t>
      </w:r>
      <w:proofErr w:type="gramStart"/>
      <w:r>
        <w:rPr>
          <w:rFonts w:ascii="Calibri" w:eastAsia="Times New Roman" w:hAnsi="Calibri" w:cs="Calibri"/>
          <w:color w:val="000000"/>
          <w:lang w:eastAsia="en-CA"/>
        </w:rPr>
        <w:t>As a result of</w:t>
      </w:r>
      <w:proofErr w:type="gramEnd"/>
      <w:r>
        <w:rPr>
          <w:rFonts w:ascii="Calibri" w:eastAsia="Times New Roman" w:hAnsi="Calibri" w:cs="Calibri"/>
          <w:color w:val="000000"/>
          <w:lang w:eastAsia="en-CA"/>
        </w:rPr>
        <w:t xml:space="preserve"> the exercise, inequality in political roles, technical knowledge and political decision of the basins was made visible as aspects that would limit the participation and decision-making of women in water management (Annex 1: Report of the Ibarra Workshop)</w:t>
      </w:r>
    </w:p>
    <w:p w14:paraId="14792EC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8050A2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Focus group</w:t>
      </w:r>
    </w:p>
    <w:p w14:paraId="4462221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On October 31, 2018, a focus group was held in Quito with people linked to the Randi-Randi Group Corporation, who have experience in development projects related to water and gender governance. The </w:t>
      </w:r>
      <w:proofErr w:type="gramStart"/>
      <w:r>
        <w:rPr>
          <w:rFonts w:ascii="Calibri" w:eastAsia="Times New Roman" w:hAnsi="Calibri" w:cs="Calibri"/>
          <w:color w:val="000000"/>
          <w:lang w:eastAsia="en-CA"/>
        </w:rPr>
        <w:t>particular experience</w:t>
      </w:r>
      <w:proofErr w:type="gramEnd"/>
      <w:r>
        <w:rPr>
          <w:rFonts w:ascii="Calibri" w:eastAsia="Times New Roman" w:hAnsi="Calibri" w:cs="Calibri"/>
          <w:color w:val="000000"/>
          <w:lang w:eastAsia="en-CA"/>
        </w:rPr>
        <w:t xml:space="preserve"> of this organization is related to activities of approximately 20 years in the area of ​​the Mira and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basins, for which they were identified as key informants for this analysis. The research variables were used to guide questions of the focal group (See: section 11, List of informants)</w:t>
      </w:r>
    </w:p>
    <w:p w14:paraId="03C2127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74A1CD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 xml:space="preserve">Workshop in the </w:t>
      </w:r>
      <w:proofErr w:type="spellStart"/>
      <w:r>
        <w:rPr>
          <w:rFonts w:ascii="Calibri" w:eastAsia="Times New Roman" w:hAnsi="Calibri" w:cs="Calibri"/>
          <w:b/>
          <w:bCs/>
          <w:color w:val="000000"/>
          <w:lang w:eastAsia="en-CA"/>
        </w:rPr>
        <w:t>Guáitara</w:t>
      </w:r>
      <w:proofErr w:type="spellEnd"/>
      <w:r>
        <w:rPr>
          <w:rFonts w:ascii="Calibri" w:eastAsia="Times New Roman" w:hAnsi="Calibri" w:cs="Calibri"/>
          <w:b/>
          <w:bCs/>
          <w:color w:val="000000"/>
          <w:lang w:eastAsia="en-CA"/>
        </w:rPr>
        <w:t xml:space="preserve"> basin. </w:t>
      </w:r>
    </w:p>
    <w:p w14:paraId="014243C0"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The Meeting of </w:t>
      </w:r>
      <w:proofErr w:type="spellStart"/>
      <w:r>
        <w:rPr>
          <w:rFonts w:ascii="Calibri" w:eastAsia="Times New Roman" w:hAnsi="Calibri" w:cs="Calibri"/>
          <w:color w:val="000000"/>
          <w:lang w:eastAsia="en-CA"/>
        </w:rPr>
        <w:t>subregional</w:t>
      </w:r>
      <w:proofErr w:type="spellEnd"/>
      <w:r>
        <w:rPr>
          <w:rFonts w:ascii="Calibri" w:eastAsia="Times New Roman" w:hAnsi="Calibri" w:cs="Calibri"/>
          <w:color w:val="000000"/>
          <w:lang w:eastAsia="en-CA"/>
        </w:rPr>
        <w:t xml:space="preserve"> alliances of women of the Cordillera </w:t>
      </w:r>
      <w:proofErr w:type="spellStart"/>
      <w:r>
        <w:rPr>
          <w:rFonts w:ascii="Calibri" w:eastAsia="Times New Roman" w:hAnsi="Calibri" w:cs="Calibri"/>
          <w:color w:val="000000"/>
          <w:lang w:eastAsia="en-CA"/>
        </w:rPr>
        <w:t>Nariñense</w:t>
      </w:r>
      <w:proofErr w:type="spellEnd"/>
      <w:r>
        <w:rPr>
          <w:rFonts w:ascii="Calibri" w:eastAsia="Times New Roman" w:hAnsi="Calibri" w:cs="Calibri"/>
          <w:color w:val="000000"/>
          <w:lang w:eastAsia="en-CA"/>
        </w:rPr>
        <w:t xml:space="preserve"> was held in the city of Pasto, on November 24, 2018, with representatives of various institutions and civil society organizations. A workshop was held with 26 women (See: Section 11, List of informants) on the research variables and specific information on the water governance of the Carchi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binational basin from a gender perspective was obtained.</w:t>
      </w:r>
    </w:p>
    <w:p w14:paraId="662DBAB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36117D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Interviews</w:t>
      </w:r>
    </w:p>
    <w:p w14:paraId="3EDD314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During the month of October, semi-structured interviews were conducted (3 in Ecuador and 1 in Colombia) with representatives of institutions or organizations with experience in initiatives and / or projects related to water management and with a gender approach. </w:t>
      </w:r>
      <w:proofErr w:type="gramStart"/>
      <w:r>
        <w:rPr>
          <w:rFonts w:ascii="Calibri" w:eastAsia="Times New Roman" w:hAnsi="Calibri" w:cs="Calibri"/>
          <w:color w:val="000000"/>
          <w:lang w:eastAsia="en-CA"/>
        </w:rPr>
        <w:t>Particular elements</w:t>
      </w:r>
      <w:proofErr w:type="gramEnd"/>
      <w:r>
        <w:rPr>
          <w:rFonts w:ascii="Calibri" w:eastAsia="Times New Roman" w:hAnsi="Calibri" w:cs="Calibri"/>
          <w:color w:val="000000"/>
          <w:lang w:eastAsia="en-CA"/>
        </w:rPr>
        <w:t xml:space="preserve"> were identified based on the experiences of projects or initiatives implemented in the basins, as well as information on studies conducted in the study area (See: Section 11, List of informants).</w:t>
      </w:r>
    </w:p>
    <w:p w14:paraId="46B77EC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8867A6C" w14:textId="77777777" w:rsidR="00DD3961" w:rsidRDefault="00DD3961" w:rsidP="00DD3961">
      <w:pPr>
        <w:spacing w:after="0" w:line="240" w:lineRule="auto"/>
        <w:jc w:val="both"/>
        <w:rPr>
          <w:rFonts w:ascii="Times New Roman" w:eastAsia="Times New Roman" w:hAnsi="Times New Roman" w:cs="Times New Roman"/>
          <w:b/>
          <w:sz w:val="24"/>
          <w:szCs w:val="24"/>
          <w:lang w:eastAsia="en-CA"/>
        </w:rPr>
      </w:pPr>
      <w:r>
        <w:rPr>
          <w:rFonts w:ascii="Calibri" w:eastAsia="Times New Roman" w:hAnsi="Calibri" w:cs="Calibri"/>
          <w:b/>
          <w:bCs/>
          <w:color w:val="000000"/>
          <w:sz w:val="24"/>
          <w:szCs w:val="24"/>
          <w:lang w:eastAsia="en-CA"/>
        </w:rPr>
        <w:t xml:space="preserve">3.4. </w:t>
      </w:r>
      <w:r>
        <w:rPr>
          <w:b/>
        </w:rPr>
        <w:t>Research limitations in gender analysis</w:t>
      </w:r>
    </w:p>
    <w:p w14:paraId="2A133F94"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F7AC90A"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The present analysis focused on the governance of water (specifically on how power is exercised and how decisions are made about this resource) and this was raised as central to the issue of participation, representation and community policy management of women in water boards for consumption or aqueducts and irrigation.</w:t>
      </w:r>
    </w:p>
    <w:p w14:paraId="647F47E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1F6E08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This focus on the main uses of water was made due to the time constraints for the preparation of this document, and in addition to the difficulties of mobilizing the areas to gather information on the problem of participation at the local level. </w:t>
      </w:r>
    </w:p>
    <w:p w14:paraId="77118DC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7794EE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An additional limitation of the present analysis was the availability of information from the three basins. The Carchi-</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and the Mira basins have more information, as there is more intervention from different organizations that have systematized experiences.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has less information than the other basins due to limitations of intervention in the area because of security reasons. In this case, there are fewer interventions of organizations in the area and, consequently, limited reports of past experiences. </w:t>
      </w:r>
    </w:p>
    <w:p w14:paraId="03D5FB6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31B148F"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Likewise, little information disaggregated by sex was identified in water boards or aqueducts and irrigation boards, especially at a statistical level, where it was evidenced that there is no data on participation in decision making in the basins of the two countries. However, it has been possible to collect general data that provided information on the composition of the boards at their management level, allowing for the collection of some elements and which will be presented in the following pages. </w:t>
      </w:r>
    </w:p>
    <w:p w14:paraId="00F07FE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B2E01CE" w14:textId="27E625DE" w:rsidR="00DD3961" w:rsidRP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Finally, the differences in terms of administrative political organization (cantons, provinces, municipalities, departments) have made it difficult to collect information between the two countries (Colombia and Ecuador). Above all, there have been issues in the homogenization of information (indicators) for carrying out the final analysis. </w:t>
      </w:r>
    </w:p>
    <w:p w14:paraId="5F082D20" w14:textId="77777777" w:rsidR="00DD3961" w:rsidRDefault="00DD3961" w:rsidP="00DD3961">
      <w:pPr>
        <w:pStyle w:val="Heading1"/>
        <w:rPr>
          <w:rFonts w:asciiTheme="minorHAnsi" w:hAnsiTheme="minorHAnsi"/>
          <w:sz w:val="24"/>
          <w:szCs w:val="24"/>
        </w:rPr>
      </w:pPr>
      <w:bookmarkStart w:id="14" w:name="_Toc8644422"/>
      <w:bookmarkStart w:id="15" w:name="_Toc8644523"/>
      <w:r>
        <w:rPr>
          <w:rFonts w:asciiTheme="minorHAnsi" w:hAnsiTheme="minorHAnsi"/>
          <w:sz w:val="24"/>
          <w:szCs w:val="24"/>
        </w:rPr>
        <w:t>4. Introduction to gender analysis</w:t>
      </w:r>
      <w:bookmarkEnd w:id="14"/>
      <w:bookmarkEnd w:id="15"/>
      <w:r>
        <w:rPr>
          <w:rFonts w:asciiTheme="minorHAnsi" w:hAnsiTheme="minorHAnsi"/>
          <w:sz w:val="24"/>
          <w:szCs w:val="24"/>
        </w:rPr>
        <w:t xml:space="preserve"> </w:t>
      </w:r>
    </w:p>
    <w:p w14:paraId="57B8170A"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To begin the approach to the analysis of gender relations in the 3 study basins, general reference is made to the main national indicators in terms of time use, political participation and gender violence</w:t>
      </w:r>
      <w:r>
        <w:rPr>
          <w:rStyle w:val="FootnoteReference"/>
          <w:rFonts w:ascii="Calibri" w:eastAsia="Times New Roman" w:hAnsi="Calibri" w:cs="Calibri"/>
          <w:color w:val="000000"/>
          <w:lang w:eastAsia="en-CA"/>
        </w:rPr>
        <w:footnoteReference w:id="1"/>
      </w:r>
      <w:r>
        <w:rPr>
          <w:rFonts w:ascii="Calibri" w:eastAsia="Times New Roman" w:hAnsi="Calibri" w:cs="Calibri"/>
          <w:color w:val="000000"/>
          <w:lang w:eastAsia="en-CA"/>
        </w:rPr>
        <w:t xml:space="preserve">. Although this data does not specifically concern the populations of the basins, they allow for the contextualization and understanding of the gender situation in Ecuador and Colombia. </w:t>
      </w:r>
    </w:p>
    <w:p w14:paraId="4C58C27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429DF7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first indicator, use of time, facilitates the evaluation of the time that men and women allocate to productive work, both paid and unpaid. In the total work, in Ecuador women spend more time than men; the difference lies in 6 hours a week. By contrast, in Colombia, men spend more time in total work, with a margin of 1 hour per week. However, when the time dedicated to reproductive work is examined, that is, to the tasks related to the home, the women of both countries spend between 6 and 7 more hours a week on these activities, mainly in rural areas. </w:t>
      </w:r>
    </w:p>
    <w:p w14:paraId="556DEE6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560DFE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second indicator, political participation, shows the contribution of women, under conditions of equality, to be eligible to participate in decision-making positions and to hold positions of public election. The political participation of women in positions of representation in ministries, sectional governments and other instances, show a disadvantage with respect to men, since fewer women occupy positions of decision making. Only in Ecuador there is a certain parity level in the legislative and judicial representation. </w:t>
      </w:r>
    </w:p>
    <w:p w14:paraId="2079A67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 </w:t>
      </w:r>
    </w:p>
    <w:p w14:paraId="75F4C4A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third indicator, gender-based violence, shows any act of sexist violence that results in physical, sexual or psychological harm, whether in the public or private sphere. Psychological violence is the most recurrent in both countries, especially for women with less access to resources such as work, education, housing, and work, among others. </w:t>
      </w:r>
    </w:p>
    <w:p w14:paraId="4A2A14B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B6876E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These national indicators show that inequitable gender relations exist in the two countries in the different areas of action of men and women. For example, there is an overload of work for women in the household, little access by women to paid work, limited participation of women in decision-making spaces and actions related to gender violence. Consequently, there is a hypothesis that some of these problems could be happening in the populations of the study basins, and based on this information, the most important findings of this gender analysis of the basins are presented below.</w:t>
      </w:r>
    </w:p>
    <w:p w14:paraId="01A598DE" w14:textId="77777777" w:rsidR="00DD3961" w:rsidRDefault="00DD3961" w:rsidP="00DD3961">
      <w:pPr>
        <w:pStyle w:val="Heading1"/>
        <w:rPr>
          <w:rFonts w:asciiTheme="minorHAnsi" w:hAnsiTheme="minorHAnsi"/>
          <w:sz w:val="24"/>
          <w:szCs w:val="24"/>
        </w:rPr>
      </w:pPr>
      <w:bookmarkStart w:id="16" w:name="_Toc8644423"/>
      <w:bookmarkStart w:id="17" w:name="_Toc8644524"/>
      <w:r>
        <w:rPr>
          <w:rFonts w:asciiTheme="minorHAnsi" w:hAnsiTheme="minorHAnsi"/>
          <w:sz w:val="24"/>
          <w:szCs w:val="24"/>
        </w:rPr>
        <w:t>5. Gender Analysis in the Mira basin</w:t>
      </w:r>
      <w:bookmarkEnd w:id="16"/>
      <w:bookmarkEnd w:id="17"/>
      <w:r>
        <w:rPr>
          <w:rFonts w:asciiTheme="minorHAnsi" w:hAnsiTheme="minorHAnsi"/>
          <w:sz w:val="24"/>
          <w:szCs w:val="24"/>
        </w:rPr>
        <w:t xml:space="preserve">  </w:t>
      </w:r>
    </w:p>
    <w:p w14:paraId="48E62B2E"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18" w:name="_Toc8644424"/>
      <w:bookmarkStart w:id="19" w:name="_Toc8644525"/>
      <w:r>
        <w:rPr>
          <w:rFonts w:ascii="Calibri" w:eastAsia="Times New Roman" w:hAnsi="Calibri" w:cs="Calibri"/>
          <w:b/>
          <w:bCs/>
          <w:color w:val="000000"/>
          <w:sz w:val="24"/>
          <w:szCs w:val="24"/>
          <w:lang w:eastAsia="en-CA"/>
        </w:rPr>
        <w:t>5.1 Overview of the basin</w:t>
      </w:r>
      <w:bookmarkEnd w:id="18"/>
      <w:bookmarkEnd w:id="19"/>
      <w:r>
        <w:rPr>
          <w:rFonts w:ascii="Calibri" w:eastAsia="Times New Roman" w:hAnsi="Calibri" w:cs="Calibri"/>
          <w:b/>
          <w:bCs/>
          <w:color w:val="000000"/>
          <w:sz w:val="24"/>
          <w:szCs w:val="24"/>
          <w:lang w:eastAsia="en-CA"/>
        </w:rPr>
        <w:t xml:space="preserve"> </w:t>
      </w:r>
    </w:p>
    <w:p w14:paraId="411355D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DD0B4A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Mira river basin, in the part corresponding to Colombia, corresponds to seven municipalities of the department of Nariño</w:t>
      </w:r>
      <w:r>
        <w:rPr>
          <w:rStyle w:val="FootnoteReference"/>
          <w:rFonts w:ascii="Calibri" w:eastAsia="Times New Roman" w:hAnsi="Calibri" w:cs="Calibri"/>
          <w:color w:val="000000"/>
          <w:lang w:eastAsia="en-CA"/>
        </w:rPr>
        <w:footnoteReference w:id="2"/>
      </w:r>
      <w:r>
        <w:rPr>
          <w:rFonts w:ascii="Calibri" w:eastAsia="Times New Roman" w:hAnsi="Calibri" w:cs="Calibri"/>
          <w:color w:val="000000"/>
          <w:lang w:eastAsia="en-CA"/>
        </w:rPr>
        <w:t>; and for Ecuador, it corresponds to thirteen cantons of the provinces of Esmeraldas, Carchi and Imbabura</w:t>
      </w:r>
      <w:r>
        <w:rPr>
          <w:rStyle w:val="FootnoteReference"/>
          <w:rFonts w:ascii="Calibri" w:eastAsia="Times New Roman" w:hAnsi="Calibri" w:cs="Calibri"/>
          <w:color w:val="000000"/>
          <w:lang w:eastAsia="en-CA"/>
        </w:rPr>
        <w:footnoteReference w:id="3"/>
      </w:r>
      <w:r>
        <w:rPr>
          <w:rFonts w:ascii="Calibri" w:eastAsia="Times New Roman" w:hAnsi="Calibri" w:cs="Calibri"/>
          <w:color w:val="000000"/>
          <w:lang w:eastAsia="en-CA"/>
        </w:rPr>
        <w:t>. The total population of the municipalities and cantons that make up the basin is approximately 614,028 inhabitants</w:t>
      </w:r>
      <w:r>
        <w:rPr>
          <w:rStyle w:val="FootnoteReference"/>
          <w:rFonts w:ascii="Calibri" w:eastAsia="Times New Roman" w:hAnsi="Calibri" w:cs="Calibri"/>
          <w:color w:val="000000"/>
          <w:lang w:eastAsia="en-CA"/>
        </w:rPr>
        <w:footnoteReference w:id="4"/>
      </w:r>
      <w:r>
        <w:rPr>
          <w:rFonts w:ascii="Calibri" w:eastAsia="Times New Roman" w:hAnsi="Calibri" w:cs="Calibri"/>
          <w:color w:val="000000"/>
          <w:lang w:eastAsia="en-CA"/>
        </w:rPr>
        <w:t xml:space="preserve">; of this population approximately 49.3% are men and 50.7% are women. </w:t>
      </w:r>
      <w:proofErr w:type="gramStart"/>
      <w:r>
        <w:rPr>
          <w:rFonts w:ascii="Calibri" w:eastAsia="Times New Roman" w:hAnsi="Calibri" w:cs="Calibri"/>
          <w:color w:val="000000"/>
          <w:lang w:eastAsia="en-CA"/>
        </w:rPr>
        <w:t>The majority of</w:t>
      </w:r>
      <w:proofErr w:type="gramEnd"/>
      <w:r>
        <w:rPr>
          <w:rFonts w:ascii="Calibri" w:eastAsia="Times New Roman" w:hAnsi="Calibri" w:cs="Calibri"/>
          <w:color w:val="000000"/>
          <w:lang w:eastAsia="en-CA"/>
        </w:rPr>
        <w:t xml:space="preserve"> the population in this basin is concentrated in urban areas.  </w:t>
      </w:r>
    </w:p>
    <w:p w14:paraId="6AB04B0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83C3BB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Water management in rural areas mainly has organizational representation mechanisms such as potable water and irrigation boards. In urban areas, it mainly has representational mechanisms such as public potable water companies.</w:t>
      </w:r>
      <w:r>
        <w:rPr>
          <w:rFonts w:ascii="Times New Roman" w:eastAsia="Times New Roman" w:hAnsi="Times New Roman" w:cs="Times New Roman"/>
          <w:sz w:val="24"/>
          <w:szCs w:val="24"/>
          <w:lang w:eastAsia="en-CA"/>
        </w:rPr>
        <w:t xml:space="preserve"> </w:t>
      </w:r>
      <w:r>
        <w:rPr>
          <w:rFonts w:ascii="Calibri" w:eastAsia="Times New Roman" w:hAnsi="Calibri" w:cs="Calibri"/>
          <w:color w:val="000000"/>
          <w:lang w:eastAsia="en-CA"/>
        </w:rPr>
        <w:t xml:space="preserve">The Mira basin, in accordance with the Organic Law on Water Resources, uses and use of Ecuador (Art.26), has a Watershed Council elected with representatives of the three provinces. For Colombia, this account does not report instances of participation </w:t>
      </w:r>
      <w:proofErr w:type="gramStart"/>
      <w:r>
        <w:rPr>
          <w:rFonts w:ascii="Calibri" w:eastAsia="Times New Roman" w:hAnsi="Calibri" w:cs="Calibri"/>
          <w:color w:val="000000"/>
          <w:lang w:eastAsia="en-CA"/>
        </w:rPr>
        <w:t>similar to</w:t>
      </w:r>
      <w:proofErr w:type="gramEnd"/>
      <w:r>
        <w:rPr>
          <w:rFonts w:ascii="Calibri" w:eastAsia="Times New Roman" w:hAnsi="Calibri" w:cs="Calibri"/>
          <w:color w:val="000000"/>
          <w:lang w:eastAsia="en-CA"/>
        </w:rPr>
        <w:t xml:space="preserve"> that of Ecuador.</w:t>
      </w:r>
    </w:p>
    <w:p w14:paraId="09CCB1D5"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20" w:name="_Toc8644425"/>
      <w:bookmarkStart w:id="21" w:name="_Toc8644526"/>
      <w:r>
        <w:rPr>
          <w:rFonts w:ascii="Calibri" w:eastAsia="Times New Roman" w:hAnsi="Calibri" w:cs="Calibri"/>
          <w:b/>
          <w:bCs/>
          <w:color w:val="000000"/>
          <w:sz w:val="24"/>
          <w:szCs w:val="24"/>
          <w:lang w:eastAsia="en-CA"/>
        </w:rPr>
        <w:t>5.2. Water Access and Management</w:t>
      </w:r>
      <w:bookmarkEnd w:id="20"/>
      <w:bookmarkEnd w:id="21"/>
    </w:p>
    <w:p w14:paraId="0CCEE8A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8BF67C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To begin the basin analysis, roles were identified for women and men in household activities, as well as in irrigation activities linked mainly to agricultural activity.  </w:t>
      </w:r>
    </w:p>
    <w:p w14:paraId="61FDA18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A2A764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Regarding water access and management, the data show that water access and management is directly related to the gender roles assigned to men and women and that they are visible in the reproductive, productive and community management areas, in both public and private spaces. For example, a group of actors from the Mira basin reported on their perceptions of water access and use at the family or reproductive level</w:t>
      </w:r>
      <w:r>
        <w:rPr>
          <w:rStyle w:val="FootnoteReference"/>
          <w:rFonts w:ascii="Calibri" w:eastAsia="Times New Roman" w:hAnsi="Calibri" w:cs="Calibri"/>
          <w:color w:val="000000"/>
          <w:lang w:eastAsia="en-CA"/>
        </w:rPr>
        <w:footnoteReference w:id="5"/>
      </w:r>
      <w:r>
        <w:rPr>
          <w:rFonts w:ascii="Calibri" w:eastAsia="Times New Roman" w:hAnsi="Calibri" w:cs="Calibri"/>
          <w:color w:val="000000"/>
          <w:lang w:eastAsia="en-CA"/>
        </w:rPr>
        <w:t>. They expressed their opinions on what could be said to be, "a fairly balanced relationship in the management of water in the home and the production of subsistence products" ... "Men and women do the same tasks in the home".</w:t>
      </w:r>
    </w:p>
    <w:p w14:paraId="2A098C5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B5AB98E"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When requesting more detail about this situation, they did not give importance to specific barriers to use and access by gender roles. Their analysis was based on situations such as water scarcity, pollution, land tenure, overflowing rivers that make this resource have a limited use by families, but they never identified gender gaps. Behind the concept of family, the contributions of women were not visible, and even less so were their interests and needs evident. It should be noted that these approaches presented a different view to other informants, so they had to be contrasted with data from other sources of study. </w:t>
      </w:r>
    </w:p>
    <w:p w14:paraId="728D5A6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3D1BE6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Other informants stated that access and use of water is determined by gender roles and the sexual division of labour (AECID, 2015)</w:t>
      </w:r>
      <w:r>
        <w:rPr>
          <w:rStyle w:val="FootnoteReference"/>
          <w:rFonts w:ascii="Calibri" w:eastAsia="Times New Roman" w:hAnsi="Calibri" w:cs="Calibri"/>
          <w:color w:val="000000"/>
          <w:lang w:eastAsia="en-CA"/>
        </w:rPr>
        <w:footnoteReference w:id="6"/>
      </w:r>
      <w:r>
        <w:rPr>
          <w:rFonts w:ascii="Calibri" w:eastAsia="Times New Roman" w:hAnsi="Calibri" w:cs="Calibri"/>
          <w:color w:val="000000"/>
          <w:lang w:eastAsia="en-CA"/>
        </w:rPr>
        <w:t xml:space="preserve">. In the family space, due to the reproductive role of women, they are charged with the task of raising children, the nutrition, health and cleanliness of the home, as well as irrigation on a smaller scale such as the subsistence garden. Everything that is outside of this scope is mostly associated with agricultural activities carried out by men. Water collection for the home, in many cases, is done by women with the help of their children. Conversely, men, in charge of irrigation water management, are totally excluded from the family or reproductive environment. </w:t>
      </w:r>
    </w:p>
    <w:p w14:paraId="1082CDB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51B8E5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Finally, in ​​community management, although there is a wide participation of women in community meetings for the cleaning of the channels or in the management of works for both drinking and irrigation water, their participation decreases when it comes to decision making, especially regarding the use of water resources.  </w:t>
      </w:r>
    </w:p>
    <w:p w14:paraId="0D30B923"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22" w:name="_Toc8644426"/>
      <w:bookmarkStart w:id="23" w:name="_Toc8644527"/>
      <w:r>
        <w:rPr>
          <w:rFonts w:ascii="Calibri" w:eastAsia="Times New Roman" w:hAnsi="Calibri" w:cs="Calibri"/>
          <w:b/>
          <w:bCs/>
          <w:color w:val="000000"/>
          <w:sz w:val="24"/>
          <w:szCs w:val="24"/>
          <w:lang w:eastAsia="en-CA"/>
        </w:rPr>
        <w:t>5.3. Who participates and makes decisions for the different levels of water governance</w:t>
      </w:r>
      <w:bookmarkEnd w:id="22"/>
      <w:bookmarkEnd w:id="23"/>
      <w:r>
        <w:rPr>
          <w:rFonts w:ascii="Calibri" w:eastAsia="Times New Roman" w:hAnsi="Calibri" w:cs="Calibri"/>
          <w:b/>
          <w:bCs/>
          <w:color w:val="000000"/>
          <w:sz w:val="24"/>
          <w:szCs w:val="24"/>
          <w:lang w:eastAsia="en-CA"/>
        </w:rPr>
        <w:t xml:space="preserve">  </w:t>
      </w:r>
    </w:p>
    <w:p w14:paraId="213B2E2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666A871" w14:textId="77777777" w:rsidR="00DD3961" w:rsidRDefault="00DD3961" w:rsidP="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analysis of participation and decision-making in the governance of the basin looked at the existing potable water and irrigation boards in the study area. This decision was taken from the first binational working group for the construction of PRODOC. In this space, a group of actors was consulted on what their participation in governance was, determining that it works through the water administration boards, community action boards, water administration legal committees and autonomous decentralized governments (GAD)</w:t>
      </w:r>
      <w:r>
        <w:rPr>
          <w:rStyle w:val="FootnoteReference"/>
          <w:rFonts w:ascii="Calibri" w:eastAsia="Times New Roman" w:hAnsi="Calibri" w:cs="Calibri"/>
          <w:color w:val="000000"/>
          <w:lang w:eastAsia="en-CA"/>
        </w:rPr>
        <w:footnoteReference w:id="7"/>
      </w:r>
      <w:r>
        <w:rPr>
          <w:rFonts w:ascii="Calibri" w:eastAsia="Times New Roman" w:hAnsi="Calibri" w:cs="Calibri"/>
          <w:color w:val="000000"/>
          <w:lang w:eastAsia="en-CA"/>
        </w:rPr>
        <w:t xml:space="preserve">. </w:t>
      </w:r>
    </w:p>
    <w:p w14:paraId="5B58F72D" w14:textId="77777777" w:rsidR="00DD3961" w:rsidRDefault="00DD3961" w:rsidP="00DD3961">
      <w:pPr>
        <w:spacing w:after="0" w:line="240" w:lineRule="auto"/>
        <w:rPr>
          <w:rFonts w:ascii="Times New Roman" w:eastAsia="Times New Roman" w:hAnsi="Times New Roman" w:cs="Times New Roman"/>
          <w:sz w:val="24"/>
          <w:szCs w:val="24"/>
          <w:lang w:eastAsia="en-CA"/>
        </w:rPr>
      </w:pPr>
    </w:p>
    <w:p w14:paraId="7F0F6A90" w14:textId="77777777" w:rsidR="00DD3961" w:rsidRDefault="00DD3961" w:rsidP="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informants of this group, mostly men, raised as barriers for the adequate participation of men and women in water management to aspects such as the lack of economic resources, weak articulation between the actors, and a lack of strengthening of organizations (administrative, financial, operation and maintenance). The ignorance of the territorial dynamics on the part of the authorities, lack of knowledge of the populations on the functioning of the boards, and operational issues of the treatment plants was also mentioned.</w:t>
      </w:r>
    </w:p>
    <w:p w14:paraId="0D7801C3" w14:textId="77777777" w:rsidR="00DD3961" w:rsidRDefault="00DD3961" w:rsidP="00DD3961">
      <w:pPr>
        <w:spacing w:after="0" w:line="240" w:lineRule="auto"/>
        <w:rPr>
          <w:rFonts w:ascii="Times New Roman" w:eastAsia="Times New Roman" w:hAnsi="Times New Roman" w:cs="Times New Roman"/>
          <w:sz w:val="24"/>
          <w:szCs w:val="24"/>
          <w:lang w:eastAsia="en-CA"/>
        </w:rPr>
      </w:pPr>
    </w:p>
    <w:p w14:paraId="4FE85B99" w14:textId="77777777" w:rsidR="00DD3961" w:rsidRDefault="00DD3961" w:rsidP="00DD3961">
      <w:pPr>
        <w:spacing w:after="0" w:line="240" w:lineRule="auto"/>
        <w:rPr>
          <w:rFonts w:ascii="Times New Roman" w:eastAsia="Times New Roman" w:hAnsi="Times New Roman" w:cs="Times New Roman"/>
          <w:sz w:val="24"/>
          <w:szCs w:val="24"/>
          <w:lang w:eastAsia="en-CA"/>
        </w:rPr>
      </w:pPr>
      <w:r>
        <w:t xml:space="preserve">The decisions were made far from their influence and by official water authorities (in the case of Ecuador by SENAGUA). </w:t>
      </w:r>
      <w:r>
        <w:rPr>
          <w:rFonts w:ascii="Calibri" w:eastAsia="Times New Roman" w:hAnsi="Calibri" w:cs="Calibri"/>
          <w:color w:val="000000"/>
          <w:lang w:eastAsia="en-CA"/>
        </w:rPr>
        <w:t>Gender barriers were not identified as a major obstacle in the dismantling of State institutions and the lack of clarity of policies related to water management in general.</w:t>
      </w:r>
    </w:p>
    <w:p w14:paraId="200EDA8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4E2D7C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 xml:space="preserve">Participation in issues of potable water and irrigation </w:t>
      </w:r>
    </w:p>
    <w:p w14:paraId="3D7D63A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E6506D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When the question was raised, “where are women and men located in water issues?”, consensus of informants related women to drinking water management and men with irrigation. This has a direct relationship with the reproductive scope of women and their culturally assigned roles in household management and family care, while the men were associated with agricultural production mainly. The men who participated in the irrigation activities were characterized as older adults (65 years average), and they discussed the increase of women in irrigation activities; however, this was only to accompany their husbands and not for a greater recognition of their right to participation</w:t>
      </w:r>
      <w:r>
        <w:rPr>
          <w:rStyle w:val="FootnoteReference"/>
          <w:rFonts w:ascii="Calibri" w:eastAsia="Times New Roman" w:hAnsi="Calibri" w:cs="Calibri"/>
          <w:color w:val="000000"/>
          <w:lang w:eastAsia="en-CA"/>
        </w:rPr>
        <w:footnoteReference w:id="8"/>
      </w:r>
      <w:r>
        <w:rPr>
          <w:rFonts w:ascii="Calibri" w:eastAsia="Times New Roman" w:hAnsi="Calibri" w:cs="Calibri"/>
          <w:color w:val="000000"/>
          <w:lang w:eastAsia="en-CA"/>
        </w:rPr>
        <w:t>.</w:t>
      </w:r>
    </w:p>
    <w:p w14:paraId="54C5162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7F026D8"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When more information was requested on why the issue of irrigation has limited participation of women, they referred to "the low credibility of their peers" ... "about their limited knowledge on technical water issues". In addition, importantly, it was mentioned that irrigation issues have a dynamic of conflict, violence, very strong physical work and work overload (number of hours to participate in community meetings, solution of legal conflicts, and issues related to theft of water, for example)</w:t>
      </w:r>
      <w:r>
        <w:rPr>
          <w:rStyle w:val="FootnoteReference"/>
          <w:rFonts w:ascii="Calibri" w:eastAsia="Times New Roman" w:hAnsi="Calibri" w:cs="Calibri"/>
          <w:color w:val="000000"/>
          <w:lang w:eastAsia="en-CA"/>
        </w:rPr>
        <w:footnoteReference w:id="9"/>
      </w:r>
      <w:r>
        <w:rPr>
          <w:rFonts w:ascii="Calibri" w:eastAsia="Times New Roman" w:hAnsi="Calibri" w:cs="Calibri"/>
          <w:color w:val="000000"/>
          <w:lang w:eastAsia="en-CA"/>
        </w:rPr>
        <w:t xml:space="preserve">. Women do not get involved mainly because their time is taken up with reproductive tasks. </w:t>
      </w:r>
      <w:proofErr w:type="gramStart"/>
      <w:r>
        <w:rPr>
          <w:rFonts w:ascii="Calibri" w:eastAsia="Times New Roman" w:hAnsi="Calibri" w:cs="Calibri"/>
          <w:color w:val="000000"/>
          <w:lang w:eastAsia="en-CA"/>
        </w:rPr>
        <w:t>In particular, it</w:t>
      </w:r>
      <w:proofErr w:type="gramEnd"/>
      <w:r>
        <w:rPr>
          <w:rFonts w:ascii="Calibri" w:eastAsia="Times New Roman" w:hAnsi="Calibri" w:cs="Calibri"/>
          <w:color w:val="000000"/>
          <w:lang w:eastAsia="en-CA"/>
        </w:rPr>
        <w:t xml:space="preserve"> was mentioned that it is not in the interest of women to get involved in aspects that can generate negative impacts, conflicts for them, violence and threats. It was reported that women do not consider their issues.</w:t>
      </w:r>
    </w:p>
    <w:p w14:paraId="430F014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1B13F0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the participation of men, it is worth mentioning that information was gathered about the difficulties they face and where the dynamics of power relations with other men limit them. The participation in decision making scenarios for water irrigation is a power struggle between older men, politicians with many years of experience, and landowners. </w:t>
      </w:r>
    </w:p>
    <w:p w14:paraId="77CC1D3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C8A158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There have been important cases of women leaders who are empowered about their rights and are increasingly present in local representation scenarios. In their communities, they are recognized and have legitimacy in representation, sometimes having better communication, experience and education skills than men. According to the informants, these women participated for years in several processes for their empowerment. There are interesting cases of leaders in the Bolívar canton of the province of Carchi and in the Garcia Moreno parish, in Ecuador. </w:t>
      </w:r>
    </w:p>
    <w:p w14:paraId="0869E08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0D82D5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process of representation begins in households where roles are assigned. Men participate mainly in irrigation-related meetings, and women in drinking water, as mentioned before. In each community, there is an election by vote for a president of irrigation or drinking water action </w:t>
      </w:r>
      <w:proofErr w:type="gramStart"/>
      <w:r>
        <w:rPr>
          <w:rFonts w:ascii="Calibri" w:eastAsia="Times New Roman" w:hAnsi="Calibri" w:cs="Calibri"/>
          <w:color w:val="000000"/>
          <w:lang w:eastAsia="en-CA"/>
        </w:rPr>
        <w:t>unit  (</w:t>
      </w:r>
      <w:proofErr w:type="gramEnd"/>
      <w:r>
        <w:rPr>
          <w:rFonts w:ascii="Calibri" w:eastAsia="Times New Roman" w:hAnsi="Calibri" w:cs="Calibri"/>
          <w:color w:val="000000"/>
          <w:lang w:eastAsia="en-CA"/>
        </w:rPr>
        <w:t>lower level of representation at the community level). The sum of the presidents of the different irrigation action units in several communities, forms a group – which is called - an oval or module. Each module determines who will represent at this level. In this way, the representation of the base of the communities goes up to the ovals or modules, and then to the water and irrigation boards.</w:t>
      </w:r>
    </w:p>
    <w:p w14:paraId="6050D55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8168B22"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In each sector, a directive is chosen and the location of the women in the representation of the boards will depend, among other things, on strong leadership at the local level and then, on their capacity of maintaining their popularity so they can be elected in the following steps. </w:t>
      </w:r>
    </w:p>
    <w:p w14:paraId="33E4673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C58E7AC" w14:textId="77777777" w:rsidR="00DD3961" w:rsidRDefault="00DD3961" w:rsidP="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participation of women, and the possibility of being suitable representatives of the boards, is constrained as they work their way up to other levels of representation. For example, to be a representative of water boards (which integrates the leadership of several communities)</w:t>
      </w:r>
      <w:r>
        <w:t xml:space="preserve"> the possibilities of being chosen decrease and “they disappear.</w:t>
      </w:r>
      <w:r>
        <w:rPr>
          <w:rFonts w:ascii="Calibri" w:eastAsia="Times New Roman" w:hAnsi="Calibri" w:cs="Calibri"/>
          <w:color w:val="000000"/>
          <w:lang w:eastAsia="en-CA"/>
        </w:rPr>
        <w:t xml:space="preserve"> On certain occasions, when there is a choice of representatives, if a man and a woman participate, the man will always be chosen. As governance spaces become formalized and representation is voted on, the possibilities of women's choice diminishes, "there is still bias towards men for the representation of all" (Focus Group Ecuador). These situations are understood as denials of gender equity and are barriers that are somehow "hidden" in current social dynamics. </w:t>
      </w:r>
    </w:p>
    <w:p w14:paraId="59BC95E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2CF0E9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Currently, the situation of women's participation has changed in relation to the past, since before, their integration into public spaces was always questioned. Now the question posed by informants is, how to do it? ... "the resistance at least is no longer explicit" (Focus group Ecuador). Also, increased women's participation in irrigation issues can be found. Aspects such as the widowhood of women, elderly parents, not many men in the communities for paid work, or even inheritance distribution, have facilitated the entry of women into a traditionally male activity. </w:t>
      </w:r>
    </w:p>
    <w:p w14:paraId="4C6F8AA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E25F8C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The participation of young people in water governance</w:t>
      </w:r>
    </w:p>
    <w:p w14:paraId="41C7117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CF6BEA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As stated by the informants in this analysis, the issue of inclusion of the younger generations in both participation and representation in water governance is essential to address. It was raised as a problem of great relevance, especially in the representation of irrigation water by men over 65 years. It was thought that the next 10 years will be important in the governance of watersheds and that age issues should be </w:t>
      </w:r>
      <w:proofErr w:type="gramStart"/>
      <w:r>
        <w:rPr>
          <w:rFonts w:ascii="Calibri" w:eastAsia="Times New Roman" w:hAnsi="Calibri" w:cs="Calibri"/>
          <w:color w:val="000000"/>
          <w:lang w:eastAsia="en-CA"/>
        </w:rPr>
        <w:t>taken into account</w:t>
      </w:r>
      <w:proofErr w:type="gramEnd"/>
      <w:r>
        <w:rPr>
          <w:rFonts w:ascii="Calibri" w:eastAsia="Times New Roman" w:hAnsi="Calibri" w:cs="Calibri"/>
          <w:color w:val="000000"/>
          <w:lang w:eastAsia="en-CA"/>
        </w:rPr>
        <w:t xml:space="preserve"> in planning the "future of water".</w:t>
      </w:r>
    </w:p>
    <w:p w14:paraId="70FCE92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1887660"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The lack of training of young people in terms of irrigation was reported. For example, they usually participate more in the topic of drinking water. It was mentioned that irrigation water is usually in the hands of the patriarch of the family and young people often choose to leave the communities. It was also stated that young people have access to basic and higher education, which makes them potential actors in the processes for promoting productivity and uses of technology with greater capabilities than those of their parents.  </w:t>
      </w:r>
    </w:p>
    <w:p w14:paraId="5B31FD3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7CB231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lack of knowledge sharing at the generational level was considered as a future weakness, since young people are not systematically integrated into the processes of organization and representation. It was recommended that changes be made for the more equal participation of young men and women, where appropriate intergenerational exercises could be integrated. In addition, it was also identified by the informants that the subject of young people was difficult to understand and that they have difficulties to generate recommendations about this topic. The concept of youth usually presents challenges to be addressed because there are not clear conceptual and normative determinations for being applied appropriately.    </w:t>
      </w:r>
    </w:p>
    <w:p w14:paraId="370EA8A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868494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The institutional framework for water management in the basin</w:t>
      </w:r>
    </w:p>
    <w:p w14:paraId="63D047B7" w14:textId="77777777" w:rsidR="00DD3961" w:rsidRDefault="00DD3961" w:rsidP="00DD3961">
      <w:pPr>
        <w:spacing w:after="0" w:line="240" w:lineRule="auto"/>
        <w:rPr>
          <w:rFonts w:ascii="Calibri" w:eastAsia="Times New Roman" w:hAnsi="Calibri" w:cs="Calibri"/>
          <w:color w:val="000000"/>
          <w:lang w:eastAsia="en-CA"/>
        </w:rPr>
      </w:pPr>
    </w:p>
    <w:p w14:paraId="485C1B49" w14:textId="77777777" w:rsidR="00DD3961" w:rsidRDefault="00DD3961" w:rsidP="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At the institutional level in Ecuador, SENAGUA promotes gender parity of representatives at the community level as well as at the formal elections level of the basin council for representation.  It was informed by the different sources consulted about the institutional insistence for the participation of women in the formation of the boards and the basin council. They recognize that women have an important role in the mobilization of the people of the communities. Institutional support was mentioned as having an impact at the potable water boards level, but not in the irrigation units. In the composition of its technical team, in SENAGUA there are several women's techniques in the follow-up given to the communities, as well as in positions linked to communication.</w:t>
      </w:r>
      <w:r>
        <w:rPr>
          <w:rFonts w:ascii="Calibri" w:eastAsia="Times New Roman" w:hAnsi="Calibri" w:cs="Calibri"/>
          <w:color w:val="000000"/>
          <w:lang w:eastAsia="en-CA"/>
        </w:rPr>
        <w:br/>
      </w:r>
    </w:p>
    <w:p w14:paraId="108F9744"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Figures of formal representation for decision making</w:t>
      </w:r>
    </w:p>
    <w:p w14:paraId="6FAAB3B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2BD4D2C"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As part of the present analysis, SENAGUA, as the competent authority in Ecuador, was formally asked for information on the conformation of water and irrigation boards legally recognized by the state and their conditions of representation of men and women. They responded to this request with information available from the names of the legal representatives. </w:t>
      </w:r>
    </w:p>
    <w:p w14:paraId="334654C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C2FD85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According to official data provided by the Technical Secretary of Water Resources of SENAGUA, there are 179 Potable Water and Sanitation Boards (local and regional) registered with legal status at the level of the three provinces of the basins. Of the 179 boards, there are 2 that do not register the name of their Presidency. </w:t>
      </w:r>
      <w:proofErr w:type="gramStart"/>
      <w:r>
        <w:rPr>
          <w:rFonts w:ascii="Calibri" w:eastAsia="Times New Roman" w:hAnsi="Calibri" w:cs="Calibri"/>
          <w:color w:val="000000"/>
          <w:lang w:eastAsia="en-CA"/>
        </w:rPr>
        <w:t>In reference to</w:t>
      </w:r>
      <w:proofErr w:type="gramEnd"/>
      <w:r>
        <w:rPr>
          <w:rFonts w:ascii="Calibri" w:eastAsia="Times New Roman" w:hAnsi="Calibri" w:cs="Calibri"/>
          <w:color w:val="000000"/>
          <w:lang w:eastAsia="en-CA"/>
        </w:rPr>
        <w:t xml:space="preserve"> the conformation of the board's directive, they only have the name of the presidents. </w:t>
      </w:r>
    </w:p>
    <w:p w14:paraId="428BAEB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3B9866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From this information, from the names of the office of presidency, of the 179 boards registered in the provinces of Carchi, Esmeraldas and Imbabura, 26 women and 151 men are identified in this position (and two without a registered name).</w:t>
      </w:r>
    </w:p>
    <w:p w14:paraId="7F660FE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97D261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the three provinces of the Mira basin, there are 179 boards registered, of which 26 females are presidents and 151 are males (two without registration). As for the cantons of the Mira basin, 130 are registered together, of which 16 are female presidents and 114 are male.</w:t>
      </w:r>
    </w:p>
    <w:p w14:paraId="212B7FC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CD2927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As for the irrigation boards, specific information has been reviewed for the registered boards with legal status. There are 47 registered boards in the Provinces of Carchi and Esmeraldas. Of this total, 3 have female presidents and the rest are men. In the cantons of the basin there are 43 together, of which 2 are female and 41 are male (SENAGUA, 2018). </w:t>
      </w:r>
    </w:p>
    <w:p w14:paraId="5549EBD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FEAA18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Watershed council, as a mechanism for representation of the basin and the participation of women</w:t>
      </w:r>
    </w:p>
    <w:p w14:paraId="374397E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726526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Ecuador, the watershed council (SENAGUA, 2014)</w:t>
      </w:r>
      <w:r>
        <w:rPr>
          <w:rStyle w:val="FootnoteReference"/>
          <w:rFonts w:ascii="Calibri" w:eastAsia="Times New Roman" w:hAnsi="Calibri" w:cs="Calibri"/>
          <w:color w:val="000000"/>
          <w:lang w:eastAsia="en-CA"/>
        </w:rPr>
        <w:footnoteReference w:id="10"/>
      </w:r>
      <w:r>
        <w:rPr>
          <w:rFonts w:ascii="Calibri" w:eastAsia="Times New Roman" w:hAnsi="Calibri" w:cs="Calibri"/>
          <w:color w:val="000000"/>
          <w:lang w:eastAsia="en-CA"/>
        </w:rPr>
        <w:t xml:space="preserve"> is a collegial body of consultative nature, led by the Single Water Authority and composed of representatives elected from user organizations that participate in the formulation, planning, evaluation and control of water resources in the respective basin. According to law, the basin council represents the set of water boards of different uses and other stakeholders relevant to the basins.</w:t>
      </w:r>
    </w:p>
    <w:p w14:paraId="5435089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196B53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These instances are organized from the administrative areas of the Water Authority (Carchi and Imbabura for the Mira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On September 26, 2018, the election of the Mira-</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Council was held. It was reported that this process, despite being considered very important for the exercise of representation of the basin, has problems for the adequate application of the regulations. This situation can be interpreted in different ways (i.e. legal gaps), which creates difficulties for adequate governance.</w:t>
      </w:r>
    </w:p>
    <w:p w14:paraId="5DB3A3B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F9CE3B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According to those consulted, this process took place without quorum and representation of the different areas of the basin</w:t>
      </w:r>
      <w:r>
        <w:rPr>
          <w:rStyle w:val="FootnoteReference"/>
          <w:rFonts w:ascii="Calibri" w:eastAsia="Times New Roman" w:hAnsi="Calibri" w:cs="Calibri"/>
          <w:color w:val="000000"/>
          <w:lang w:eastAsia="en-CA"/>
        </w:rPr>
        <w:footnoteReference w:id="11"/>
      </w:r>
      <w:r>
        <w:rPr>
          <w:rFonts w:ascii="Calibri" w:eastAsia="Times New Roman" w:hAnsi="Calibri" w:cs="Calibri"/>
          <w:color w:val="000000"/>
          <w:lang w:eastAsia="en-CA"/>
        </w:rPr>
        <w:t>. Additionally, the geographical conformation of the basin council was questioned since it is based on the administrative political divisions of SENAGUA. The importance of building basin governance from the social organization linked to the water logic was mentioned: "Understanding the context and its levels of organization can achieve good governance". For informants, it is essential to understand the basin as a form of social organization around water and not as a political administrative instance of the state: "There is a lack of knowledge of which zones are integrated, how they are organized, along with which river they are, from where its water comes out" (Focus group-Ecuador).</w:t>
      </w:r>
      <w:r>
        <w:rPr>
          <w:rFonts w:ascii="Calibri" w:eastAsia="Times New Roman" w:hAnsi="Calibri" w:cs="Calibri"/>
          <w:i/>
          <w:iCs/>
          <w:color w:val="000000"/>
          <w:lang w:eastAsia="en-CA"/>
        </w:rPr>
        <w:t xml:space="preserve"> </w:t>
      </w:r>
      <w:r>
        <w:rPr>
          <w:rFonts w:ascii="Calibri" w:eastAsia="Times New Roman" w:hAnsi="Calibri" w:cs="Calibri"/>
          <w:color w:val="000000"/>
          <w:lang w:eastAsia="en-CA"/>
        </w:rPr>
        <w:t>Additionally, it was reported that several elected representatives are unaware of their role of participation in the council.</w:t>
      </w:r>
    </w:p>
    <w:p w14:paraId="50D9F3A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465ECCB"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The guidelines presented during the meeting were insistent that the conformation of the board should </w:t>
      </w:r>
      <w:proofErr w:type="gramStart"/>
      <w:r>
        <w:rPr>
          <w:rFonts w:ascii="Calibri" w:eastAsia="Times New Roman" w:hAnsi="Calibri" w:cs="Calibri"/>
          <w:color w:val="000000"/>
          <w:lang w:eastAsia="en-CA"/>
        </w:rPr>
        <w:t>take into account</w:t>
      </w:r>
      <w:proofErr w:type="gramEnd"/>
      <w:r>
        <w:rPr>
          <w:rFonts w:ascii="Calibri" w:eastAsia="Times New Roman" w:hAnsi="Calibri" w:cs="Calibri"/>
          <w:color w:val="000000"/>
          <w:lang w:eastAsia="en-CA"/>
        </w:rPr>
        <w:t xml:space="preserve"> the balance of number of men and women. This request was based on the regulation of water resources:</w:t>
      </w:r>
    </w:p>
    <w:p w14:paraId="653A036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DA0A60F"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"Any water policy must incorporate a gender perspective </w:t>
      </w:r>
      <w:proofErr w:type="gramStart"/>
      <w:r>
        <w:rPr>
          <w:rFonts w:ascii="Calibri" w:eastAsia="Times New Roman" w:hAnsi="Calibri" w:cs="Calibri"/>
          <w:color w:val="000000"/>
          <w:lang w:eastAsia="en-CA"/>
        </w:rPr>
        <w:t>in order to</w:t>
      </w:r>
      <w:proofErr w:type="gramEnd"/>
      <w:r>
        <w:rPr>
          <w:rFonts w:ascii="Calibri" w:eastAsia="Times New Roman" w:hAnsi="Calibri" w:cs="Calibri"/>
          <w:color w:val="000000"/>
          <w:lang w:eastAsia="en-CA"/>
        </w:rPr>
        <w:t xml:space="preserve"> establish concrete measures that meet the specific needs of women in the exercise of the human right to water. In the same way, measures will be adopted </w:t>
      </w:r>
      <w:proofErr w:type="gramStart"/>
      <w:r>
        <w:rPr>
          <w:rFonts w:ascii="Calibri" w:eastAsia="Times New Roman" w:hAnsi="Calibri" w:cs="Calibri"/>
          <w:color w:val="000000"/>
          <w:lang w:eastAsia="en-CA"/>
        </w:rPr>
        <w:t>in order to</w:t>
      </w:r>
      <w:proofErr w:type="gramEnd"/>
      <w:r>
        <w:rPr>
          <w:rFonts w:ascii="Calibri" w:eastAsia="Times New Roman" w:hAnsi="Calibri" w:cs="Calibri"/>
          <w:color w:val="000000"/>
          <w:lang w:eastAsia="en-CA"/>
        </w:rPr>
        <w:t xml:space="preserve"> achieve formal and material equality between women and men, especially in community participation activities on water management, water procurement and the strengthening of women as agents of change”</w:t>
      </w:r>
      <w:r>
        <w:rPr>
          <w:rStyle w:val="FootnoteReference"/>
          <w:rFonts w:ascii="Calibri" w:eastAsia="Times New Roman" w:hAnsi="Calibri" w:cs="Calibri"/>
          <w:color w:val="000000"/>
          <w:lang w:eastAsia="en-CA"/>
        </w:rPr>
        <w:footnoteReference w:id="12"/>
      </w:r>
    </w:p>
    <w:p w14:paraId="170F770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755F87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Afterwards, in the selection of representatives to the council, the representation of women reached 30%. In the election of the basin council, the opinions given by the informants beforehand were confirmed. Several women were mentioned in the nomination process, but the result was mainly men: "Because of bias and denial of gender equity, men are the elected and they are the official representatives", as explained above.</w:t>
      </w:r>
    </w:p>
    <w:p w14:paraId="482A04E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F0A448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According to the informants' experience, this is an average percentage in terms of the participation and representation of women in projects related to the different uses of water.</w:t>
      </w:r>
    </w:p>
    <w:p w14:paraId="17F363C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F48A63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In summary:</w:t>
      </w:r>
    </w:p>
    <w:p w14:paraId="511E21D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C04167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the Mira basin, the reality of potable water and irrigation boards are very complex and diverse, which makes their organization and representation a difficult scenario for both men and women. </w:t>
      </w:r>
    </w:p>
    <w:p w14:paraId="13DF586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A50557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w:t>
      </w:r>
      <w:r>
        <w:rPr>
          <w:rFonts w:ascii="Calibri" w:eastAsia="Times New Roman" w:hAnsi="Calibri" w:cs="Calibri"/>
          <w:i/>
          <w:iCs/>
          <w:color w:val="000000"/>
          <w:lang w:eastAsia="en-CA"/>
        </w:rPr>
        <w:t>water access and management</w:t>
      </w:r>
      <w:r>
        <w:rPr>
          <w:rFonts w:ascii="Calibri" w:eastAsia="Times New Roman" w:hAnsi="Calibri" w:cs="Calibri"/>
          <w:color w:val="000000"/>
          <w:lang w:eastAsia="en-CA"/>
        </w:rPr>
        <w:t>, governance is directly related to gender roles assigned to men and women, that is, the direct relationship with the reproductive sphere of women and their culturally assigned roles in household management and care family. Men, on the other hand, are mainly associated with agricultural production.  </w:t>
      </w:r>
    </w:p>
    <w:p w14:paraId="76EAB5F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5532CA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w:t>
      </w:r>
      <w:r>
        <w:rPr>
          <w:rFonts w:ascii="Calibri" w:eastAsia="Times New Roman" w:hAnsi="Calibri" w:cs="Calibri"/>
          <w:i/>
          <w:iCs/>
          <w:color w:val="000000"/>
          <w:lang w:eastAsia="en-CA"/>
        </w:rPr>
        <w:t>participation and decision making</w:t>
      </w:r>
      <w:r>
        <w:rPr>
          <w:rFonts w:ascii="Calibri" w:eastAsia="Times New Roman" w:hAnsi="Calibri" w:cs="Calibri"/>
          <w:color w:val="000000"/>
          <w:lang w:eastAsia="en-CA"/>
        </w:rPr>
        <w:t xml:space="preserve"> in the governance of the basin irrigation water, is the very low participation of women: one of main causes is the low value given to women's knowledge and the actual limitations of their technical knowledge on irrigation. This is in addition to the difficulties that this activity entails (conflicts, violence, physical labour in excess and overload of work) which results in the disinterest of women. </w:t>
      </w:r>
    </w:p>
    <w:p w14:paraId="02E5DD5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769FD9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It is worth considering the cases of women leaders who are present in local level representation spaces, however their legitimacy in their communities is constrained as they move further up to other levels of representation. Representation for decision making still has an obvious bias towards men and has "hidden" denials of gender equity. </w:t>
      </w:r>
    </w:p>
    <w:p w14:paraId="48319A24"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 </w:t>
      </w:r>
    </w:p>
    <w:p w14:paraId="585B080B" w14:textId="43478479" w:rsidR="00DD3961" w:rsidRP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 future weakness was identified regarding the lack of knowledge sharing at the generational level, since young people are not integrated into the processes of organization and representation in a systematic way; this is in addition to their evident lack of interest on the subject.</w:t>
      </w:r>
    </w:p>
    <w:p w14:paraId="37507912" w14:textId="77777777" w:rsidR="00DD3961" w:rsidRDefault="00DD3961" w:rsidP="00DD3961">
      <w:pPr>
        <w:pStyle w:val="Heading1"/>
        <w:rPr>
          <w:rFonts w:asciiTheme="minorHAnsi" w:hAnsiTheme="minorHAnsi"/>
          <w:sz w:val="24"/>
          <w:szCs w:val="24"/>
        </w:rPr>
      </w:pPr>
      <w:bookmarkStart w:id="24" w:name="_Toc8644427"/>
      <w:bookmarkStart w:id="25" w:name="_Toc8644528"/>
      <w:r>
        <w:rPr>
          <w:rFonts w:asciiTheme="minorHAnsi" w:hAnsiTheme="minorHAnsi"/>
          <w:sz w:val="24"/>
          <w:szCs w:val="24"/>
        </w:rPr>
        <w:t xml:space="preserve">6. Gender Analysis in the </w:t>
      </w:r>
      <w:proofErr w:type="spellStart"/>
      <w:r>
        <w:rPr>
          <w:rFonts w:asciiTheme="minorHAnsi" w:hAnsiTheme="minorHAnsi"/>
          <w:sz w:val="24"/>
          <w:szCs w:val="24"/>
        </w:rPr>
        <w:t>Mataje</w:t>
      </w:r>
      <w:proofErr w:type="spellEnd"/>
      <w:r>
        <w:rPr>
          <w:rFonts w:asciiTheme="minorHAnsi" w:hAnsiTheme="minorHAnsi"/>
          <w:sz w:val="24"/>
          <w:szCs w:val="24"/>
        </w:rPr>
        <w:t xml:space="preserve"> basin</w:t>
      </w:r>
      <w:bookmarkEnd w:id="24"/>
      <w:bookmarkEnd w:id="25"/>
      <w:r>
        <w:rPr>
          <w:rFonts w:asciiTheme="minorHAnsi" w:hAnsiTheme="minorHAnsi"/>
          <w:sz w:val="24"/>
          <w:szCs w:val="24"/>
        </w:rPr>
        <w:t xml:space="preserve"> </w:t>
      </w:r>
    </w:p>
    <w:p w14:paraId="254170AC"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26" w:name="_Toc8644428"/>
      <w:bookmarkStart w:id="27" w:name="_Toc8644529"/>
      <w:r>
        <w:rPr>
          <w:rFonts w:ascii="Calibri" w:eastAsia="Times New Roman" w:hAnsi="Calibri" w:cs="Calibri"/>
          <w:b/>
          <w:bCs/>
          <w:color w:val="000000"/>
          <w:sz w:val="24"/>
          <w:szCs w:val="24"/>
          <w:lang w:eastAsia="en-CA"/>
        </w:rPr>
        <w:t>6.1 Overview of the basin</w:t>
      </w:r>
      <w:bookmarkEnd w:id="26"/>
      <w:bookmarkEnd w:id="27"/>
      <w:r>
        <w:rPr>
          <w:rFonts w:ascii="Calibri" w:eastAsia="Times New Roman" w:hAnsi="Calibri" w:cs="Calibri"/>
          <w:b/>
          <w:bCs/>
          <w:color w:val="000000"/>
          <w:sz w:val="24"/>
          <w:szCs w:val="24"/>
          <w:lang w:eastAsia="en-CA"/>
        </w:rPr>
        <w:t xml:space="preserve"> </w:t>
      </w:r>
    </w:p>
    <w:p w14:paraId="5A8C34C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FD0816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in Ecuador </w:t>
      </w:r>
      <w:proofErr w:type="gramStart"/>
      <w:r>
        <w:rPr>
          <w:rFonts w:ascii="Calibri" w:eastAsia="Times New Roman" w:hAnsi="Calibri" w:cs="Calibri"/>
          <w:color w:val="000000"/>
          <w:lang w:eastAsia="en-CA"/>
        </w:rPr>
        <w:t>is located in</w:t>
      </w:r>
      <w:proofErr w:type="gramEnd"/>
      <w:r>
        <w:rPr>
          <w:rFonts w:ascii="Calibri" w:eastAsia="Times New Roman" w:hAnsi="Calibri" w:cs="Calibri"/>
          <w:color w:val="000000"/>
          <w:lang w:eastAsia="en-CA"/>
        </w:rPr>
        <w:t xml:space="preserve"> the San Lorenzo canton of the Esmeraldas province, and on the Colombia side, it is located in the municipality of </w:t>
      </w:r>
      <w:proofErr w:type="spellStart"/>
      <w:r>
        <w:rPr>
          <w:rFonts w:ascii="Calibri" w:eastAsia="Times New Roman" w:hAnsi="Calibri" w:cs="Calibri"/>
          <w:color w:val="000000"/>
          <w:lang w:eastAsia="en-CA"/>
        </w:rPr>
        <w:t>Tumaco</w:t>
      </w:r>
      <w:proofErr w:type="spellEnd"/>
      <w:r>
        <w:rPr>
          <w:rFonts w:ascii="Calibri" w:eastAsia="Times New Roman" w:hAnsi="Calibri" w:cs="Calibri"/>
          <w:color w:val="000000"/>
          <w:lang w:eastAsia="en-CA"/>
        </w:rPr>
        <w:t xml:space="preserve"> in the department of Nariño. The basin has a population of approximately 9,680 inhabitants</w:t>
      </w:r>
      <w:r>
        <w:rPr>
          <w:rStyle w:val="FootnoteReference"/>
          <w:rFonts w:ascii="Calibri" w:eastAsia="Times New Roman" w:hAnsi="Calibri" w:cs="Calibri"/>
          <w:color w:val="000000"/>
          <w:lang w:eastAsia="en-CA"/>
        </w:rPr>
        <w:footnoteReference w:id="13"/>
      </w:r>
      <w:r>
        <w:rPr>
          <w:rFonts w:ascii="Calibri" w:eastAsia="Times New Roman" w:hAnsi="Calibri" w:cs="Calibri"/>
          <w:color w:val="000000"/>
          <w:lang w:eastAsia="en-CA"/>
        </w:rPr>
        <w:t xml:space="preserve">. Of this population, approximately 51.2% are women and 48.7% are men. </w:t>
      </w:r>
    </w:p>
    <w:p w14:paraId="0D01AD4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4615A9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This area has worrying levels of both poverty and extreme poverty, which cover several of these jurisdictions. In all the parishes of the province, they double the national average of 26.8% (Rodríguez, S. et al., 2018). For the Colombian side, the NBI Unsatisfied Basic Needs Index is 48.7% of the population that is above the departmental (NBI = 43.8) and national (NBI = 27.78) average. </w:t>
      </w:r>
    </w:p>
    <w:p w14:paraId="75DDAFAB"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28" w:name="_Toc8644429"/>
      <w:bookmarkStart w:id="29" w:name="_Toc8644530"/>
      <w:r>
        <w:rPr>
          <w:rFonts w:ascii="Calibri" w:eastAsia="Times New Roman" w:hAnsi="Calibri" w:cs="Calibri"/>
          <w:b/>
          <w:bCs/>
          <w:color w:val="000000"/>
          <w:sz w:val="24"/>
          <w:szCs w:val="24"/>
          <w:lang w:eastAsia="en-CA"/>
        </w:rPr>
        <w:t>6.2. Water Access and Management</w:t>
      </w:r>
      <w:bookmarkEnd w:id="28"/>
      <w:bookmarkEnd w:id="29"/>
    </w:p>
    <w:p w14:paraId="54A9184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61517A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According to the informants in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there are no formal mechanisms of organization around water. As has been seen in other basins, the community organization occurs mainly around the productive, agricultural and sports sector. In this area, there are very few farmers and there exist mostly subsistence gardens. The social organization is given minimally through associations of producers.</w:t>
      </w:r>
    </w:p>
    <w:p w14:paraId="22398D4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4ECCEF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the case of women, they carry out productive activities (inside and outside the home) and do not generate formal remuneration. Some women are dedicated to the use and exploitation of mangrove resources, such as the collection of female </w:t>
      </w:r>
      <w:proofErr w:type="gramStart"/>
      <w:r>
        <w:rPr>
          <w:rFonts w:ascii="Calibri" w:eastAsia="Times New Roman" w:hAnsi="Calibri" w:cs="Calibri"/>
          <w:color w:val="000000"/>
          <w:lang w:eastAsia="en-CA"/>
        </w:rPr>
        <w:t>conch</w:t>
      </w:r>
      <w:proofErr w:type="gramEnd"/>
      <w:r>
        <w:rPr>
          <w:rFonts w:ascii="Calibri" w:eastAsia="Times New Roman" w:hAnsi="Calibri" w:cs="Calibri"/>
          <w:color w:val="000000"/>
          <w:lang w:eastAsia="en-CA"/>
        </w:rPr>
        <w:t xml:space="preserve"> (</w:t>
      </w:r>
      <w:proofErr w:type="spellStart"/>
      <w:r>
        <w:rPr>
          <w:rFonts w:ascii="Calibri" w:eastAsia="Times New Roman" w:hAnsi="Calibri" w:cs="Calibri"/>
          <w:color w:val="000000"/>
          <w:lang w:eastAsia="en-CA"/>
        </w:rPr>
        <w:t>Anadara</w:t>
      </w:r>
      <w:proofErr w:type="spellEnd"/>
      <w:r>
        <w:rPr>
          <w:rFonts w:ascii="Calibri" w:eastAsia="Times New Roman" w:hAnsi="Calibri" w:cs="Calibri"/>
          <w:color w:val="000000"/>
          <w:lang w:eastAsia="en-CA"/>
        </w:rPr>
        <w:t xml:space="preserve"> </w:t>
      </w:r>
      <w:proofErr w:type="spellStart"/>
      <w:r>
        <w:rPr>
          <w:rFonts w:ascii="Calibri" w:eastAsia="Times New Roman" w:hAnsi="Calibri" w:cs="Calibri"/>
          <w:color w:val="000000"/>
          <w:lang w:eastAsia="en-CA"/>
        </w:rPr>
        <w:t>tuberculosa</w:t>
      </w:r>
      <w:proofErr w:type="spellEnd"/>
      <w:r>
        <w:rPr>
          <w:rFonts w:ascii="Calibri" w:eastAsia="Times New Roman" w:hAnsi="Calibri" w:cs="Calibri"/>
          <w:color w:val="000000"/>
          <w:lang w:eastAsia="en-CA"/>
        </w:rPr>
        <w:t>) and male conch (</w:t>
      </w:r>
      <w:proofErr w:type="spellStart"/>
      <w:r>
        <w:rPr>
          <w:rFonts w:ascii="Calibri" w:eastAsia="Times New Roman" w:hAnsi="Calibri" w:cs="Calibri"/>
          <w:color w:val="000000"/>
          <w:lang w:eastAsia="en-CA"/>
        </w:rPr>
        <w:t>Anadara</w:t>
      </w:r>
      <w:proofErr w:type="spellEnd"/>
      <w:r>
        <w:rPr>
          <w:rFonts w:ascii="Calibri" w:eastAsia="Times New Roman" w:hAnsi="Calibri" w:cs="Calibri"/>
          <w:color w:val="000000"/>
          <w:lang w:eastAsia="en-CA"/>
        </w:rPr>
        <w:t xml:space="preserve"> </w:t>
      </w:r>
      <w:proofErr w:type="spellStart"/>
      <w:r>
        <w:rPr>
          <w:rFonts w:ascii="Calibri" w:eastAsia="Times New Roman" w:hAnsi="Calibri" w:cs="Calibri"/>
          <w:color w:val="000000"/>
          <w:lang w:eastAsia="en-CA"/>
        </w:rPr>
        <w:t>similis</w:t>
      </w:r>
      <w:proofErr w:type="spellEnd"/>
      <w:r>
        <w:rPr>
          <w:rFonts w:ascii="Calibri" w:eastAsia="Times New Roman" w:hAnsi="Calibri" w:cs="Calibri"/>
          <w:color w:val="000000"/>
          <w:lang w:eastAsia="en-CA"/>
        </w:rPr>
        <w:t>) or the "</w:t>
      </w:r>
      <w:proofErr w:type="spellStart"/>
      <w:r>
        <w:rPr>
          <w:rFonts w:ascii="Calibri" w:eastAsia="Times New Roman" w:hAnsi="Calibri" w:cs="Calibri"/>
          <w:color w:val="000000"/>
          <w:lang w:eastAsia="en-CA"/>
        </w:rPr>
        <w:t>concheo</w:t>
      </w:r>
      <w:proofErr w:type="spellEnd"/>
      <w:r>
        <w:rPr>
          <w:rFonts w:ascii="Calibri" w:eastAsia="Times New Roman" w:hAnsi="Calibri" w:cs="Calibri"/>
          <w:color w:val="000000"/>
          <w:lang w:eastAsia="en-CA"/>
        </w:rPr>
        <w:t>", the collection of blue crab (</w:t>
      </w:r>
      <w:proofErr w:type="spellStart"/>
      <w:r>
        <w:rPr>
          <w:rFonts w:ascii="Calibri" w:eastAsia="Times New Roman" w:hAnsi="Calibri" w:cs="Calibri"/>
          <w:color w:val="000000"/>
          <w:lang w:eastAsia="en-CA"/>
        </w:rPr>
        <w:t>Cardisoma</w:t>
      </w:r>
      <w:proofErr w:type="spellEnd"/>
      <w:r>
        <w:rPr>
          <w:rFonts w:ascii="Calibri" w:eastAsia="Times New Roman" w:hAnsi="Calibri" w:cs="Calibri"/>
          <w:color w:val="000000"/>
          <w:lang w:eastAsia="en-CA"/>
        </w:rPr>
        <w:t xml:space="preserve"> </w:t>
      </w:r>
      <w:proofErr w:type="spellStart"/>
      <w:r>
        <w:rPr>
          <w:rFonts w:ascii="Calibri" w:eastAsia="Times New Roman" w:hAnsi="Calibri" w:cs="Calibri"/>
          <w:color w:val="000000"/>
          <w:lang w:eastAsia="en-CA"/>
        </w:rPr>
        <w:t>crassum</w:t>
      </w:r>
      <w:proofErr w:type="spellEnd"/>
      <w:r>
        <w:rPr>
          <w:rFonts w:ascii="Calibri" w:eastAsia="Times New Roman" w:hAnsi="Calibri" w:cs="Calibri"/>
          <w:color w:val="000000"/>
          <w:lang w:eastAsia="en-CA"/>
        </w:rPr>
        <w:t>) and fishing. They also carry out minor trade activities. In the canton of San Lorenzo, a significant percentage of female-led households were identified, and only a small percentage have paid work. These issues are aggravated by the low level of schooling and high level of illiteracy. In the case of men, they engage in productive activities related to agriculture, livestock, forestry and fishing. (Rodríguez, S. et al., 2018).  </w:t>
      </w:r>
    </w:p>
    <w:p w14:paraId="5BCC466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6B5962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the case of drinking water, only the population of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has a water system suitable for consumption, coming from underground sources (deep wells). The other communities are supplied with somniferous wells, rain water, estuaries and springs, or tankers in the case of communities that have road access for vehicles (PDOT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2015). Water is generally used without any type of treatment. They also do not have a collection and final disposal service for solid and liquid waste; most of the population deposits waste in streams, rivers and springs.   </w:t>
      </w:r>
    </w:p>
    <w:p w14:paraId="3F4DA9D0"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178560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At a general level, the water of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has been affected in recent decades by anthropogenic actions such as contamination </w:t>
      </w:r>
      <w:proofErr w:type="gramStart"/>
      <w:r>
        <w:rPr>
          <w:rFonts w:ascii="Calibri" w:eastAsia="Times New Roman" w:hAnsi="Calibri" w:cs="Calibri"/>
          <w:color w:val="000000"/>
          <w:lang w:eastAsia="en-CA"/>
        </w:rPr>
        <w:t>by the use of</w:t>
      </w:r>
      <w:proofErr w:type="gramEnd"/>
      <w:r>
        <w:rPr>
          <w:rFonts w:ascii="Calibri" w:eastAsia="Times New Roman" w:hAnsi="Calibri" w:cs="Calibri"/>
          <w:color w:val="000000"/>
          <w:lang w:eastAsia="en-CA"/>
        </w:rPr>
        <w:t xml:space="preserve"> agrochemicals, especially used in the cultivation of African palm, which has also deforested the native forests. In addition, there is pressure on water systems from contamination with solid waste and from mining, since these towns do not have a sewage system. To add to this, the population is showing reductions of flows due to the issue of climate change and the deforestation of native forests (PDOT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2015).  </w:t>
      </w:r>
    </w:p>
    <w:p w14:paraId="2088E645"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30" w:name="_Toc8644430"/>
      <w:bookmarkStart w:id="31" w:name="_Toc8644531"/>
      <w:r>
        <w:rPr>
          <w:rFonts w:ascii="Calibri" w:eastAsia="Times New Roman" w:hAnsi="Calibri" w:cs="Calibri"/>
          <w:b/>
          <w:bCs/>
          <w:color w:val="000000"/>
          <w:sz w:val="24"/>
          <w:szCs w:val="24"/>
          <w:lang w:eastAsia="en-CA"/>
        </w:rPr>
        <w:t>6.3. Water Governance and Decision-Making</w:t>
      </w:r>
      <w:bookmarkEnd w:id="30"/>
      <w:bookmarkEnd w:id="31"/>
      <w:r>
        <w:rPr>
          <w:rFonts w:ascii="Calibri" w:eastAsia="Times New Roman" w:hAnsi="Calibri" w:cs="Calibri"/>
          <w:b/>
          <w:bCs/>
          <w:color w:val="000000"/>
          <w:sz w:val="24"/>
          <w:szCs w:val="24"/>
          <w:lang w:eastAsia="en-CA"/>
        </w:rPr>
        <w:t xml:space="preserve">  </w:t>
      </w:r>
    </w:p>
    <w:p w14:paraId="3EF6A07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677907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political participation in the basin in general, it takes place through an electoral process where representatives are elected to the parish councils. According to a consulted source, in 2014 in Ecuador 4,079 dignities were elected of which 1,023 were women (25.07%). </w:t>
      </w:r>
    </w:p>
    <w:p w14:paraId="03EDC96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45503C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These levels of representation are spaces for decision making with male predominance. For example, it was mentioned in the information collected that in the consultation processes within the protected area of ​​REMACAM (some communities that are located inside the protected area) the opinion of women is not </w:t>
      </w:r>
      <w:proofErr w:type="gramStart"/>
      <w:r>
        <w:rPr>
          <w:rFonts w:ascii="Calibri" w:eastAsia="Times New Roman" w:hAnsi="Calibri" w:cs="Calibri"/>
          <w:color w:val="000000"/>
          <w:lang w:eastAsia="en-CA"/>
        </w:rPr>
        <w:t>taken into account</w:t>
      </w:r>
      <w:proofErr w:type="gramEnd"/>
      <w:r>
        <w:rPr>
          <w:rFonts w:ascii="Calibri" w:eastAsia="Times New Roman" w:hAnsi="Calibri" w:cs="Calibri"/>
          <w:color w:val="000000"/>
          <w:lang w:eastAsia="en-CA"/>
        </w:rPr>
        <w:t xml:space="preserve"> when deciding on the use and exploitation of natural resources in this conservation area. </w:t>
      </w:r>
    </w:p>
    <w:p w14:paraId="5C7FF24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37EF5C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levels of organization </w:t>
      </w:r>
      <w:proofErr w:type="gramStart"/>
      <w:r>
        <w:rPr>
          <w:rFonts w:ascii="Calibri" w:eastAsia="Times New Roman" w:hAnsi="Calibri" w:cs="Calibri"/>
          <w:color w:val="000000"/>
          <w:lang w:eastAsia="en-CA"/>
        </w:rPr>
        <w:t>in the area of</w:t>
      </w:r>
      <w:proofErr w:type="gramEnd"/>
      <w:r>
        <w:rPr>
          <w:rFonts w:ascii="Calibri" w:eastAsia="Times New Roman" w:hAnsi="Calibri" w:cs="Calibri"/>
          <w:color w:val="000000"/>
          <w:lang w:eastAsia="en-CA"/>
        </w:rPr>
        <w:t xml:space="preserve"> ​​the basin, there are several associations formed to carry out productive and subsistence activities. According to the source consulted, the main economic income is related to the collection of shells, crab and fishing. To a lesser extent, people carry out agricultural work, such as sowing and harvesting coconuts, oranges, bananas, plantains and lemons, or the collection of clams and mussels, but these actions are focused more on self-consumption, subsistence, or exchange with other food products (Rodríguez, S. et al., 2018).</w:t>
      </w:r>
    </w:p>
    <w:p w14:paraId="28A76E3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A3B2FA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According to the same study, "Only men possess the knowledge for fishing and the handling of motor boats. This knowledge (engine management) allows them to move freely throughout the territory and facilitates participation in various decision-making spaces. In the case of women, certain restrictions have to do with the issue of leadership, since many women are still afraid to confront themselves in an assembly as women and defend their rights as women" (Rodríguez, S. et al., 2018).</w:t>
      </w:r>
    </w:p>
    <w:p w14:paraId="0BA0226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95502F1"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The topic of organizational processes around water is not given much importance and its conformation is low or null. Added to this situation is the arrival of people from other places with different purposes and interests. They are organized sporadically by the productive theme (extraction of the shell and fishing) and the sporting theme. Only the </w:t>
      </w:r>
      <w:proofErr w:type="spellStart"/>
      <w:r>
        <w:rPr>
          <w:rFonts w:ascii="Calibri" w:eastAsia="Times New Roman" w:hAnsi="Calibri" w:cs="Calibri"/>
          <w:color w:val="000000"/>
          <w:lang w:eastAsia="en-CA"/>
        </w:rPr>
        <w:t>Awá</w:t>
      </w:r>
      <w:proofErr w:type="spellEnd"/>
      <w:r>
        <w:rPr>
          <w:rFonts w:ascii="Calibri" w:eastAsia="Times New Roman" w:hAnsi="Calibri" w:cs="Calibri"/>
          <w:color w:val="000000"/>
          <w:lang w:eastAsia="en-CA"/>
        </w:rPr>
        <w:t xml:space="preserve"> community is organized and associated with the Federation of </w:t>
      </w:r>
      <w:proofErr w:type="spellStart"/>
      <w:r>
        <w:rPr>
          <w:rFonts w:ascii="Calibri" w:eastAsia="Times New Roman" w:hAnsi="Calibri" w:cs="Calibri"/>
          <w:color w:val="000000"/>
          <w:lang w:eastAsia="en-CA"/>
        </w:rPr>
        <w:t>Awá</w:t>
      </w:r>
      <w:proofErr w:type="spellEnd"/>
      <w:r>
        <w:rPr>
          <w:rFonts w:ascii="Calibri" w:eastAsia="Times New Roman" w:hAnsi="Calibri" w:cs="Calibri"/>
          <w:color w:val="000000"/>
          <w:lang w:eastAsia="en-CA"/>
        </w:rPr>
        <w:t xml:space="preserve"> </w:t>
      </w:r>
      <w:proofErr w:type="spellStart"/>
      <w:r>
        <w:rPr>
          <w:rFonts w:ascii="Calibri" w:eastAsia="Times New Roman" w:hAnsi="Calibri" w:cs="Calibri"/>
          <w:color w:val="000000"/>
          <w:lang w:eastAsia="en-CA"/>
        </w:rPr>
        <w:t>Centers</w:t>
      </w:r>
      <w:proofErr w:type="spellEnd"/>
      <w:r>
        <w:rPr>
          <w:rFonts w:ascii="Calibri" w:eastAsia="Times New Roman" w:hAnsi="Calibri" w:cs="Calibri"/>
          <w:color w:val="000000"/>
          <w:lang w:eastAsia="en-CA"/>
        </w:rPr>
        <w:t xml:space="preserve"> of Ecuador (FECAE), who carry out activities in cultural and territorial issues aimed at the conservation of natural resources, as done through various forums and national and international conferences.</w:t>
      </w:r>
      <w:r>
        <w:rPr>
          <w:rFonts w:ascii="Calibri" w:eastAsia="Times New Roman" w:hAnsi="Calibri" w:cs="Calibri"/>
          <w:color w:val="000000"/>
          <w:shd w:val="clear" w:color="auto" w:fill="FF00FF"/>
          <w:lang w:eastAsia="en-CA"/>
        </w:rPr>
        <w:t xml:space="preserve"> </w:t>
      </w:r>
    </w:p>
    <w:p w14:paraId="6D5EA77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34CAC1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this area there are serious problems of social organization and opportunities. For example, the populations that are in the border area do not know where they should take their children to school. The organization of this is extremely weak and leads to generating structural changes. There are not very strong instances for the organization of education, much less for the organization for issues such as water. According to the person interviewed, there is a vicious circle; there are no strong organizations, but at the same time, there is a lack of interest in organizing anything.</w:t>
      </w:r>
    </w:p>
    <w:p w14:paraId="0F720EF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5B5378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To add to the organizational problems, there is a weak state in terms of institutions and services. In addition, gender relations are made invisible by the action of local institutions. For example, there are cases of violence against women and girls in the family, labour, educational, political or community level (PDOT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2015). In addition to this reality, levels of representation of women in the spaces of social and political participation are minimal, which in turn affects decision-making on important issues such as gender violence, social participation and water governance.  </w:t>
      </w:r>
    </w:p>
    <w:p w14:paraId="3420246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021BF5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One of the people consulted and working in an international organization noted that several projects in this area channel their efforts in the strengthening of the associativity </w:t>
      </w:r>
      <w:proofErr w:type="gramStart"/>
      <w:r>
        <w:rPr>
          <w:rFonts w:ascii="Calibri" w:eastAsia="Times New Roman" w:hAnsi="Calibri" w:cs="Calibri"/>
          <w:color w:val="000000"/>
          <w:lang w:eastAsia="en-CA"/>
        </w:rPr>
        <w:t>in order to</w:t>
      </w:r>
      <w:proofErr w:type="gramEnd"/>
      <w:r>
        <w:rPr>
          <w:rFonts w:ascii="Calibri" w:eastAsia="Times New Roman" w:hAnsi="Calibri" w:cs="Calibri"/>
          <w:color w:val="000000"/>
          <w:lang w:eastAsia="en-CA"/>
        </w:rPr>
        <w:t xml:space="preserve"> build productive and commercial capacities. They consider that these problems are a bottleneck and that they can improve the economic conditions of the border populations. The young population, especially those who have few job and educational opportunities, may be at risk from the irregular organizations existing in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area.   </w:t>
      </w:r>
    </w:p>
    <w:p w14:paraId="39B6355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E29F29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addition, in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on the Colombia side, evidence of women's participation in the activities of the community council is presented. Two years ago, they managed to organize themselves in the group "</w:t>
      </w:r>
      <w:proofErr w:type="spellStart"/>
      <w:r>
        <w:rPr>
          <w:rFonts w:ascii="Calibri" w:eastAsia="Times New Roman" w:hAnsi="Calibri" w:cs="Calibri"/>
          <w:color w:val="000000"/>
          <w:lang w:eastAsia="en-CA"/>
        </w:rPr>
        <w:t>Canasteando</w:t>
      </w:r>
      <w:proofErr w:type="spellEnd"/>
      <w:r>
        <w:rPr>
          <w:rFonts w:ascii="Calibri" w:eastAsia="Times New Roman" w:hAnsi="Calibri" w:cs="Calibri"/>
          <w:color w:val="000000"/>
          <w:lang w:eastAsia="en-CA"/>
        </w:rPr>
        <w:t xml:space="preserve">", which brings together approximately 100 women, to work on handicrafts and the collection of </w:t>
      </w:r>
      <w:proofErr w:type="spellStart"/>
      <w:r>
        <w:rPr>
          <w:rFonts w:ascii="Calibri" w:eastAsia="Times New Roman" w:hAnsi="Calibri" w:cs="Calibri"/>
          <w:color w:val="000000"/>
          <w:lang w:eastAsia="en-CA"/>
        </w:rPr>
        <w:t>pianguas</w:t>
      </w:r>
      <w:proofErr w:type="spellEnd"/>
      <w:r>
        <w:rPr>
          <w:rFonts w:ascii="Calibri" w:eastAsia="Times New Roman" w:hAnsi="Calibri" w:cs="Calibri"/>
          <w:color w:val="000000"/>
          <w:lang w:eastAsia="en-CA"/>
        </w:rPr>
        <w:t xml:space="preserve"> or shells</w:t>
      </w:r>
      <w:r>
        <w:rPr>
          <w:rStyle w:val="FootnoteReference"/>
          <w:rFonts w:ascii="Calibri" w:eastAsia="Times New Roman" w:hAnsi="Calibri" w:cs="Calibri"/>
          <w:color w:val="000000"/>
          <w:lang w:eastAsia="en-CA"/>
        </w:rPr>
        <w:footnoteReference w:id="14"/>
      </w:r>
      <w:r>
        <w:rPr>
          <w:rFonts w:ascii="Calibri" w:eastAsia="Times New Roman" w:hAnsi="Calibri" w:cs="Calibri"/>
          <w:color w:val="000000"/>
          <w:lang w:eastAsia="en-CA"/>
        </w:rPr>
        <w:t xml:space="preserve">. Their presence resulted in the modification of the internal regulations of the community council so that they have a participation quota of 30%. Currently, the norm is not being met and there is only the representation of two women in this organization. </w:t>
      </w:r>
    </w:p>
    <w:p w14:paraId="4A4BB74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5C43D9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Figures of formal representation for decision making</w:t>
      </w:r>
    </w:p>
    <w:p w14:paraId="647BDFA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F3F4DDF"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In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and specifically in the province of Esmeraldas, there are 45 registered boards. From these meetings, 10 women and 35 men preside over these organizations in all the cantons. In the San Lorenzo Canton, which corresponds to the basin, there are 3 registered boards, with 3 men presiding (SENAGUA, 2018). In 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on the Colombia side, the Community Council regulated the participation of women with almost a third of the representation; since the percentage is not met, there is a minimum representation in the decision making.  </w:t>
      </w:r>
    </w:p>
    <w:p w14:paraId="3A9B662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6AB205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In summary:</w:t>
      </w:r>
    </w:p>
    <w:p w14:paraId="1E05781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2DCB7D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is notable for its high level of poverty, </w:t>
      </w:r>
      <w:r>
        <w:rPr>
          <w:rFonts w:ascii="Calibri" w:eastAsia="Times New Roman" w:hAnsi="Calibri" w:cs="Calibri"/>
          <w:color w:val="353535"/>
          <w:lang w:eastAsia="en-CA"/>
        </w:rPr>
        <w:t xml:space="preserve">with very few formal mechanisms </w:t>
      </w:r>
      <w:r>
        <w:rPr>
          <w:rFonts w:ascii="Calibri" w:eastAsia="Times New Roman" w:hAnsi="Calibri" w:cs="Calibri"/>
          <w:color w:val="000000"/>
          <w:lang w:eastAsia="en-CA"/>
        </w:rPr>
        <w:t>of organization around water and a weak state presence. It is the basin with the least information availability.</w:t>
      </w:r>
    </w:p>
    <w:p w14:paraId="7885706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235C2D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terms of </w:t>
      </w:r>
      <w:r>
        <w:rPr>
          <w:rFonts w:ascii="Calibri" w:eastAsia="Times New Roman" w:hAnsi="Calibri" w:cs="Calibri"/>
          <w:i/>
          <w:iCs/>
          <w:color w:val="000000"/>
          <w:lang w:eastAsia="en-CA"/>
        </w:rPr>
        <w:t xml:space="preserve">access to and management of </w:t>
      </w:r>
      <w:r>
        <w:rPr>
          <w:rFonts w:ascii="Calibri" w:eastAsia="Times New Roman" w:hAnsi="Calibri" w:cs="Calibri"/>
          <w:color w:val="000000"/>
          <w:lang w:eastAsia="en-CA"/>
        </w:rPr>
        <w:t xml:space="preserve">water, there were difficulties given that this area has limitations for access to quality water, it does not have adequate mechanisms for the final disposal of solid and liquid waste and sewerage, and it also has diverse sources of water contamination due to the use of agrochemicals and mining. </w:t>
      </w:r>
    </w:p>
    <w:p w14:paraId="5381489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1CB8EF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i/>
          <w:iCs/>
          <w:color w:val="000000"/>
          <w:lang w:eastAsia="en-CA"/>
        </w:rPr>
        <w:t>About the participation</w:t>
      </w:r>
      <w:r>
        <w:rPr>
          <w:rFonts w:ascii="Calibri" w:eastAsia="Times New Roman" w:hAnsi="Calibri" w:cs="Calibri"/>
          <w:color w:val="000000"/>
          <w:lang w:eastAsia="en-CA"/>
        </w:rPr>
        <w:t xml:space="preserve"> and decision-making in general on the Ecuadorian side, it occurs through electoral processes where representatives are elected to parish boards, which have minimal representation of women.  On the Colombia side, evidence of women's participation in activities in the community council is presented, however, representation is not effective.</w:t>
      </w:r>
    </w:p>
    <w:p w14:paraId="1937A09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617E5E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youth population have few employment and educational opportunities and are considered at risk by the irregular organizations existing in the area. </w:t>
      </w:r>
    </w:p>
    <w:p w14:paraId="5DDB4866" w14:textId="77777777" w:rsidR="00DD3961" w:rsidRDefault="00DD3961" w:rsidP="00DD3961">
      <w:pPr>
        <w:pStyle w:val="Heading1"/>
        <w:rPr>
          <w:rFonts w:asciiTheme="minorHAnsi" w:hAnsiTheme="minorHAnsi"/>
          <w:sz w:val="24"/>
          <w:szCs w:val="24"/>
        </w:rPr>
      </w:pPr>
      <w:bookmarkStart w:id="32" w:name="_Toc8644431"/>
      <w:bookmarkStart w:id="33" w:name="_Toc8644532"/>
      <w:r>
        <w:rPr>
          <w:rFonts w:asciiTheme="minorHAnsi" w:hAnsiTheme="minorHAnsi"/>
          <w:sz w:val="24"/>
          <w:szCs w:val="24"/>
        </w:rPr>
        <w:t xml:space="preserve">7. Gender Analysis in the Carchi </w:t>
      </w:r>
      <w:proofErr w:type="spellStart"/>
      <w:r>
        <w:rPr>
          <w:rFonts w:asciiTheme="minorHAnsi" w:hAnsiTheme="minorHAnsi"/>
          <w:sz w:val="24"/>
          <w:szCs w:val="24"/>
        </w:rPr>
        <w:t>Guáitara</w:t>
      </w:r>
      <w:proofErr w:type="spellEnd"/>
      <w:r>
        <w:rPr>
          <w:rFonts w:asciiTheme="minorHAnsi" w:hAnsiTheme="minorHAnsi"/>
          <w:sz w:val="24"/>
          <w:szCs w:val="24"/>
        </w:rPr>
        <w:t xml:space="preserve"> basin</w:t>
      </w:r>
      <w:bookmarkEnd w:id="32"/>
      <w:bookmarkEnd w:id="33"/>
      <w:r>
        <w:rPr>
          <w:rFonts w:asciiTheme="minorHAnsi" w:hAnsiTheme="minorHAnsi"/>
          <w:sz w:val="24"/>
          <w:szCs w:val="24"/>
        </w:rPr>
        <w:t xml:space="preserve"> </w:t>
      </w:r>
    </w:p>
    <w:p w14:paraId="70401381" w14:textId="77777777" w:rsidR="00DD3961" w:rsidRDefault="00DD3961" w:rsidP="00DD3961">
      <w:pPr>
        <w:spacing w:before="200" w:after="0" w:line="240" w:lineRule="auto"/>
        <w:jc w:val="both"/>
        <w:outlineLvl w:val="1"/>
        <w:rPr>
          <w:rFonts w:ascii="Calibri" w:eastAsia="Times New Roman" w:hAnsi="Calibri" w:cs="Calibri"/>
          <w:b/>
          <w:bCs/>
          <w:color w:val="000000"/>
          <w:sz w:val="24"/>
          <w:szCs w:val="24"/>
          <w:lang w:eastAsia="en-CA"/>
        </w:rPr>
      </w:pPr>
      <w:bookmarkStart w:id="34" w:name="_Toc8644432"/>
      <w:bookmarkStart w:id="35" w:name="_Toc8644533"/>
      <w:r>
        <w:rPr>
          <w:rFonts w:ascii="Calibri" w:eastAsia="Times New Roman" w:hAnsi="Calibri" w:cs="Calibri"/>
          <w:b/>
          <w:bCs/>
          <w:color w:val="000000"/>
          <w:sz w:val="24"/>
          <w:szCs w:val="24"/>
          <w:lang w:eastAsia="en-CA"/>
        </w:rPr>
        <w:t>7.1. Overview of the basin</w:t>
      </w:r>
      <w:bookmarkEnd w:id="34"/>
      <w:bookmarkEnd w:id="35"/>
      <w:r>
        <w:rPr>
          <w:rFonts w:ascii="Calibri" w:eastAsia="Times New Roman" w:hAnsi="Calibri" w:cs="Calibri"/>
          <w:b/>
          <w:bCs/>
          <w:color w:val="000000"/>
          <w:sz w:val="24"/>
          <w:szCs w:val="24"/>
          <w:lang w:eastAsia="en-CA"/>
        </w:rPr>
        <w:t xml:space="preserve"> </w:t>
      </w:r>
    </w:p>
    <w:p w14:paraId="65DA32A1" w14:textId="49E1A33C" w:rsidR="00DD3961" w:rsidRDefault="00DD3961" w:rsidP="00DD3961">
      <w:pPr>
        <w:spacing w:before="200" w:after="0" w:line="240" w:lineRule="auto"/>
        <w:jc w:val="both"/>
        <w:outlineLvl w:val="1"/>
        <w:rPr>
          <w:rFonts w:ascii="Times New Roman" w:eastAsia="Times New Roman" w:hAnsi="Times New Roman" w:cs="Times New Roman"/>
          <w:sz w:val="24"/>
          <w:szCs w:val="24"/>
          <w:lang w:eastAsia="en-CA"/>
        </w:rPr>
      </w:pPr>
      <w:bookmarkStart w:id="36" w:name="_Toc8644534"/>
      <w:r>
        <w:rPr>
          <w:rFonts w:ascii="Calibri" w:eastAsia="Times New Roman" w:hAnsi="Calibri" w:cs="Calibri"/>
          <w:color w:val="000000"/>
          <w:lang w:eastAsia="en-CA"/>
        </w:rPr>
        <w:t>The basin of Carchi-</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is made up of 33 municipalities of the department of Nariño</w:t>
      </w:r>
      <w:r>
        <w:rPr>
          <w:rStyle w:val="FootnoteReference"/>
          <w:rFonts w:ascii="Calibri" w:eastAsia="Times New Roman" w:hAnsi="Calibri" w:cs="Calibri"/>
          <w:color w:val="000000"/>
          <w:lang w:eastAsia="en-CA"/>
        </w:rPr>
        <w:footnoteReference w:id="15"/>
      </w:r>
      <w:r>
        <w:rPr>
          <w:rFonts w:ascii="Calibri" w:eastAsia="Times New Roman" w:hAnsi="Calibri" w:cs="Calibri"/>
          <w:color w:val="000000"/>
          <w:lang w:eastAsia="en-CA"/>
        </w:rPr>
        <w:t xml:space="preserve"> and three cantons</w:t>
      </w:r>
      <w:r>
        <w:rPr>
          <w:rFonts w:ascii="Calibri" w:eastAsia="Times New Roman" w:hAnsi="Calibri" w:cs="Calibri"/>
          <w:color w:val="000000"/>
          <w:sz w:val="13"/>
          <w:szCs w:val="13"/>
          <w:vertAlign w:val="superscript"/>
          <w:lang w:eastAsia="en-CA"/>
        </w:rPr>
        <w:t xml:space="preserve"> </w:t>
      </w:r>
      <w:r>
        <w:rPr>
          <w:rFonts w:ascii="Calibri" w:eastAsia="Times New Roman" w:hAnsi="Calibri" w:cs="Calibri"/>
          <w:color w:val="000000"/>
          <w:lang w:eastAsia="en-CA"/>
        </w:rPr>
        <w:t>belonging to the Province of Carchi</w:t>
      </w:r>
      <w:r>
        <w:rPr>
          <w:rStyle w:val="FootnoteReference"/>
          <w:rFonts w:ascii="Calibri" w:eastAsia="Times New Roman" w:hAnsi="Calibri" w:cs="Calibri"/>
          <w:color w:val="000000"/>
          <w:lang w:eastAsia="en-CA"/>
        </w:rPr>
        <w:footnoteReference w:id="16"/>
      </w:r>
      <w:r>
        <w:rPr>
          <w:rFonts w:ascii="Calibri" w:eastAsia="Times New Roman" w:hAnsi="Calibri" w:cs="Calibri"/>
          <w:color w:val="000000"/>
          <w:lang w:eastAsia="en-CA"/>
        </w:rPr>
        <w:t>. The population settled within the basin is approximately 510,529 inhabitants, where 50.3% are women and 49.7% are men.</w:t>
      </w:r>
      <w:bookmarkEnd w:id="36"/>
      <w:r>
        <w:rPr>
          <w:rFonts w:ascii="Helvetica Neue" w:eastAsia="Times New Roman" w:hAnsi="Helvetica Neue" w:cs="Times New Roman"/>
          <w:color w:val="000000"/>
          <w:sz w:val="21"/>
          <w:szCs w:val="21"/>
          <w:lang w:eastAsia="en-CA"/>
        </w:rPr>
        <w:t xml:space="preserve"> </w:t>
      </w:r>
    </w:p>
    <w:p w14:paraId="7ED53EB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5D34EA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Most of the basin </w:t>
      </w:r>
      <w:proofErr w:type="gramStart"/>
      <w:r>
        <w:rPr>
          <w:rFonts w:ascii="Calibri" w:eastAsia="Times New Roman" w:hAnsi="Calibri" w:cs="Calibri"/>
          <w:color w:val="000000"/>
          <w:lang w:eastAsia="en-CA"/>
        </w:rPr>
        <w:t>is located in</w:t>
      </w:r>
      <w:proofErr w:type="gramEnd"/>
      <w:r>
        <w:rPr>
          <w:rFonts w:ascii="Calibri" w:eastAsia="Times New Roman" w:hAnsi="Calibri" w:cs="Calibri"/>
          <w:color w:val="000000"/>
          <w:lang w:eastAsia="en-CA"/>
        </w:rPr>
        <w:t xml:space="preserve"> Colombia; it has a fairly small territory on the Ecuadorian side and is mostly populated by cantons in urban areas. </w:t>
      </w:r>
    </w:p>
    <w:p w14:paraId="267DB07E"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37" w:name="_Toc8644433"/>
      <w:bookmarkStart w:id="38" w:name="_Toc8644535"/>
      <w:r>
        <w:rPr>
          <w:rFonts w:ascii="Calibri" w:eastAsia="Times New Roman" w:hAnsi="Calibri" w:cs="Calibri"/>
          <w:b/>
          <w:bCs/>
          <w:color w:val="000000"/>
          <w:sz w:val="24"/>
          <w:szCs w:val="24"/>
          <w:lang w:eastAsia="en-CA"/>
        </w:rPr>
        <w:t>7.2. Water Access and Management</w:t>
      </w:r>
      <w:bookmarkEnd w:id="37"/>
      <w:bookmarkEnd w:id="38"/>
      <w:r>
        <w:rPr>
          <w:rFonts w:ascii="Calibri" w:eastAsia="Times New Roman" w:hAnsi="Calibri" w:cs="Calibri"/>
          <w:b/>
          <w:bCs/>
          <w:color w:val="000000"/>
          <w:sz w:val="24"/>
          <w:szCs w:val="24"/>
          <w:lang w:eastAsia="en-CA"/>
        </w:rPr>
        <w:t xml:space="preserve"> </w:t>
      </w:r>
    </w:p>
    <w:p w14:paraId="3EE8985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C29B8F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Within the framework of the workshop held with women in the city of Pasto</w:t>
      </w:r>
      <w:r>
        <w:rPr>
          <w:rStyle w:val="FootnoteReference"/>
          <w:rFonts w:ascii="Calibri" w:eastAsia="Times New Roman" w:hAnsi="Calibri" w:cs="Calibri"/>
          <w:color w:val="000000"/>
          <w:lang w:eastAsia="en-CA"/>
        </w:rPr>
        <w:footnoteReference w:id="17"/>
      </w:r>
      <w:r>
        <w:rPr>
          <w:rFonts w:ascii="Calibri" w:eastAsia="Times New Roman" w:hAnsi="Calibri" w:cs="Calibri"/>
          <w:color w:val="000000"/>
          <w:lang w:eastAsia="en-CA"/>
        </w:rPr>
        <w:t>, a large majority of the participants indicated that they do not know to which basin they belong and that they do not identify or become familiar with the basin concept; but it is clear to the communities that the river supplies water to its aqueducts. In addition, several people in the communities could not identify with certainty whether their water intake is superficial or underground.   </w:t>
      </w:r>
    </w:p>
    <w:p w14:paraId="67A8E63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595B98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On the other hand, in the exercise of gathering information, the participation of women in the use and use of water was addressed</w:t>
      </w:r>
      <w:r>
        <w:rPr>
          <w:rStyle w:val="FootnoteReference"/>
          <w:rFonts w:ascii="Calibri" w:eastAsia="Times New Roman" w:hAnsi="Calibri" w:cs="Calibri"/>
          <w:color w:val="000000"/>
          <w:lang w:eastAsia="en-CA"/>
        </w:rPr>
        <w:footnoteReference w:id="18"/>
      </w:r>
      <w:r>
        <w:rPr>
          <w:rFonts w:ascii="Calibri" w:eastAsia="Times New Roman" w:hAnsi="Calibri" w:cs="Calibri"/>
          <w:color w:val="000000"/>
          <w:lang w:eastAsia="en-CA"/>
        </w:rPr>
        <w:t xml:space="preserve">. The women of the Carchi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basin are identified according to their traditional gender roles, in nutrition, home care, crops and management of minor species for subsistence. </w:t>
      </w:r>
    </w:p>
    <w:p w14:paraId="6BFC5F0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BD6F66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As for the participation of men, they identified that they work in the irrigation of their crop fields and the washing of vehicles. In general, they mentioned that, in the use and access of water, they develop it in the home environment. They identified that one of the main limitations they encounter is the quality and quantity of water. This situation requires greater effort to achieve and develop of both men and women. </w:t>
      </w:r>
    </w:p>
    <w:p w14:paraId="10B772F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8C1FAEA" w14:textId="77777777" w:rsidR="00DD3961" w:rsidRDefault="00DD3961" w:rsidP="00DD3961">
      <w:pPr>
        <w:spacing w:before="200" w:after="0" w:line="240" w:lineRule="auto"/>
        <w:jc w:val="both"/>
        <w:outlineLvl w:val="1"/>
        <w:rPr>
          <w:rFonts w:ascii="Times New Roman" w:eastAsia="Times New Roman" w:hAnsi="Times New Roman" w:cs="Times New Roman"/>
          <w:b/>
          <w:bCs/>
          <w:sz w:val="36"/>
          <w:szCs w:val="36"/>
          <w:lang w:eastAsia="en-CA"/>
        </w:rPr>
      </w:pPr>
      <w:bookmarkStart w:id="39" w:name="_Toc8644434"/>
      <w:bookmarkStart w:id="40" w:name="_Toc8644536"/>
      <w:r>
        <w:rPr>
          <w:rFonts w:ascii="Calibri" w:eastAsia="Times New Roman" w:hAnsi="Calibri" w:cs="Calibri"/>
          <w:b/>
          <w:bCs/>
          <w:color w:val="000000"/>
          <w:sz w:val="24"/>
          <w:szCs w:val="24"/>
          <w:lang w:eastAsia="en-CA"/>
        </w:rPr>
        <w:t>7.3. Water Governance and Decision Making</w:t>
      </w:r>
      <w:bookmarkEnd w:id="39"/>
      <w:bookmarkEnd w:id="40"/>
      <w:r>
        <w:rPr>
          <w:rFonts w:ascii="Calibri" w:eastAsia="Times New Roman" w:hAnsi="Calibri" w:cs="Calibri"/>
          <w:b/>
          <w:bCs/>
          <w:color w:val="000000"/>
          <w:sz w:val="24"/>
          <w:szCs w:val="24"/>
          <w:lang w:eastAsia="en-CA"/>
        </w:rPr>
        <w:t xml:space="preserve">  </w:t>
      </w:r>
    </w:p>
    <w:p w14:paraId="74C3E20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9C2625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Participation in potable water and irrigation issues</w:t>
      </w:r>
    </w:p>
    <w:p w14:paraId="5144322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045982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the case of water management, the level of participation is developed outside the home and mostly at the community level. For example, participants identified local providers such as: the local aqueduct company, the municipal administration (mayor's office), the community action board, the aqueduct administration boards of the associations and the indigenous reserves, among others.  </w:t>
      </w:r>
    </w:p>
    <w:p w14:paraId="48EAE5A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Those attending the workshop identified that, at the community level, there are gender barriers for women in terms of low participation due to the lack of technical training and discrimination. As an example, it was mentioned that the Secretariat of Water in the case of Ecuador (SENAGUA) proposes minimum quotas and composition by gender for the conformation of directives and community representation. On the side of Colombia, where most of the basin is located, Resolution 509 of 2013</w:t>
      </w:r>
      <w:r>
        <w:rPr>
          <w:rStyle w:val="FootnoteReference"/>
          <w:rFonts w:ascii="Calibri" w:eastAsia="Times New Roman" w:hAnsi="Calibri" w:cs="Calibri"/>
          <w:color w:val="000000"/>
          <w:lang w:eastAsia="en-CA"/>
        </w:rPr>
        <w:footnoteReference w:id="19"/>
      </w:r>
      <w:r>
        <w:rPr>
          <w:rFonts w:ascii="Calibri" w:eastAsia="Times New Roman" w:hAnsi="Calibri" w:cs="Calibri"/>
          <w:color w:val="000000"/>
          <w:lang w:eastAsia="en-CA"/>
        </w:rPr>
        <w:t xml:space="preserve">, which defines the guidelines for the formation of Basin Councils and their participation in the phases of the Plan for the Basin, does not specify a percentage of women needed regarding basin council members. </w:t>
      </w:r>
    </w:p>
    <w:p w14:paraId="767967E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A93C4C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addition, they mentioned that the community action boards (JAC, for their acronym in Spanish)</w:t>
      </w:r>
      <w:r>
        <w:rPr>
          <w:rStyle w:val="FootnoteReference"/>
          <w:rFonts w:ascii="Calibri" w:eastAsia="Times New Roman" w:hAnsi="Calibri" w:cs="Calibri"/>
          <w:color w:val="000000"/>
          <w:lang w:eastAsia="en-CA"/>
        </w:rPr>
        <w:footnoteReference w:id="20"/>
      </w:r>
      <w:r>
        <w:rPr>
          <w:rFonts w:ascii="Calibri" w:eastAsia="Times New Roman" w:hAnsi="Calibri" w:cs="Calibri"/>
          <w:color w:val="000000"/>
          <w:lang w:eastAsia="en-CA"/>
        </w:rPr>
        <w:t xml:space="preserve"> are those who are mainly assume the management of the aqueducts, as well as other state institutions and sectional governments. Additionally, it was identified as a limitation that, in the various water management projects, there is no formal mechanism to integrate children, youth and older adults (men and women) in these management activities. This situation would generate future knowledge gaps and, in turn, would affect the sustainability of long-term water governance processes. </w:t>
      </w:r>
    </w:p>
    <w:p w14:paraId="01F131F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D163CC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Representation for decision-making</w:t>
      </w:r>
    </w:p>
    <w:p w14:paraId="7927522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48860A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For aspects of decision-making around water, people are not clear about the functions, roles and responsibilities of local authorities. In any case, they recognize that management is at the community and basin level, reaching other instances of State and international representation (binational basins). We talked about government institutions, water and irrigation administration boards, SENAGUA, </w:t>
      </w:r>
      <w:proofErr w:type="spellStart"/>
      <w:r>
        <w:rPr>
          <w:rFonts w:ascii="Calibri" w:eastAsia="Times New Roman" w:hAnsi="Calibri" w:cs="Calibri"/>
          <w:color w:val="000000"/>
          <w:lang w:eastAsia="en-CA"/>
        </w:rPr>
        <w:t>Corponariño</w:t>
      </w:r>
      <w:proofErr w:type="spellEnd"/>
      <w:r>
        <w:rPr>
          <w:rFonts w:ascii="Calibri" w:eastAsia="Times New Roman" w:hAnsi="Calibri" w:cs="Calibri"/>
          <w:color w:val="000000"/>
          <w:lang w:eastAsia="en-CA"/>
        </w:rPr>
        <w:t xml:space="preserve"> (Regional Autonomous Corporation), and representatives of indigenous reservations and councils, among others. </w:t>
      </w:r>
    </w:p>
    <w:p w14:paraId="2EF21FC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19B9AEB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w:t>
      </w:r>
      <w:proofErr w:type="gramStart"/>
      <w:r>
        <w:rPr>
          <w:rFonts w:ascii="Calibri" w:eastAsia="Times New Roman" w:hAnsi="Calibri" w:cs="Calibri"/>
          <w:color w:val="000000"/>
          <w:lang w:eastAsia="en-CA"/>
        </w:rPr>
        <w:t>all of</w:t>
      </w:r>
      <w:proofErr w:type="gramEnd"/>
      <w:r>
        <w:rPr>
          <w:rFonts w:ascii="Calibri" w:eastAsia="Times New Roman" w:hAnsi="Calibri" w:cs="Calibri"/>
          <w:color w:val="000000"/>
          <w:lang w:eastAsia="en-CA"/>
        </w:rPr>
        <w:t xml:space="preserve"> these levels, the lack of participation of women was again mentioned as the main constraint, but the quality of participation was further affected due to daily practices such as: the presence of the macho culture in the organizations that conditions the lack of empowerment and political leadership of women to participate in equal conditions. Special mention was made of the absence of women in decision-making in indigenous communities and </w:t>
      </w:r>
      <w:proofErr w:type="spellStart"/>
      <w:r>
        <w:rPr>
          <w:rFonts w:ascii="Calibri" w:eastAsia="Times New Roman" w:hAnsi="Calibri" w:cs="Calibri"/>
          <w:color w:val="000000"/>
          <w:lang w:eastAsia="en-CA"/>
        </w:rPr>
        <w:t>Resguardos</w:t>
      </w:r>
      <w:proofErr w:type="spellEnd"/>
      <w:r>
        <w:rPr>
          <w:rFonts w:ascii="Calibri" w:eastAsia="Times New Roman" w:hAnsi="Calibri" w:cs="Calibri"/>
          <w:color w:val="000000"/>
          <w:lang w:eastAsia="en-CA"/>
        </w:rPr>
        <w:t xml:space="preserve">- Indigenous Cabildos- where most of the authorities are occupied by men. </w:t>
      </w:r>
    </w:p>
    <w:p w14:paraId="036FAC3F" w14:textId="77777777" w:rsidR="00DD3961" w:rsidRDefault="00DD3961" w:rsidP="00DD3961">
      <w:pPr>
        <w:spacing w:after="0" w:line="240" w:lineRule="auto"/>
        <w:jc w:val="both"/>
        <w:rPr>
          <w:rFonts w:ascii="Calibri" w:eastAsia="Times New Roman" w:hAnsi="Calibri" w:cs="Calibri"/>
          <w:b/>
          <w:bCs/>
          <w:color w:val="000000"/>
          <w:lang w:eastAsia="en-CA"/>
        </w:rPr>
      </w:pPr>
    </w:p>
    <w:p w14:paraId="6E2FAE9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Figures of formal representation for decision making</w:t>
      </w:r>
    </w:p>
    <w:p w14:paraId="364A08E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5143B61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roofErr w:type="gramStart"/>
      <w:r>
        <w:rPr>
          <w:rFonts w:ascii="Calibri" w:eastAsia="Times New Roman" w:hAnsi="Calibri" w:cs="Calibri"/>
          <w:color w:val="000000"/>
          <w:lang w:eastAsia="en-CA"/>
        </w:rPr>
        <w:t>In reference to</w:t>
      </w:r>
      <w:proofErr w:type="gramEnd"/>
      <w:r>
        <w:rPr>
          <w:rFonts w:ascii="Calibri" w:eastAsia="Times New Roman" w:hAnsi="Calibri" w:cs="Calibri"/>
          <w:color w:val="000000"/>
          <w:lang w:eastAsia="en-CA"/>
        </w:rPr>
        <w:t xml:space="preserve"> organizations around water, in the Carchi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basin, in the part of Ecuador, we have the following data. Throughout the province of Carchi, a total of 39 potable water management boards are registered. Of these, they are represented by 7 women and 32 men. In what corresponds specifically to the cantons of the basin (</w:t>
      </w:r>
      <w:proofErr w:type="spellStart"/>
      <w:r>
        <w:rPr>
          <w:rFonts w:ascii="Calibri" w:eastAsia="Times New Roman" w:hAnsi="Calibri" w:cs="Calibri"/>
          <w:color w:val="000000"/>
          <w:lang w:eastAsia="en-CA"/>
        </w:rPr>
        <w:t>Tulcán</w:t>
      </w:r>
      <w:proofErr w:type="spellEnd"/>
      <w:r>
        <w:rPr>
          <w:rFonts w:ascii="Calibri" w:eastAsia="Times New Roman" w:hAnsi="Calibri" w:cs="Calibri"/>
          <w:color w:val="000000"/>
          <w:lang w:eastAsia="en-CA"/>
        </w:rPr>
        <w:t xml:space="preserve">, Espejo and </w:t>
      </w:r>
      <w:proofErr w:type="spellStart"/>
      <w:r>
        <w:rPr>
          <w:rFonts w:ascii="Calibri" w:eastAsia="Times New Roman" w:hAnsi="Calibri" w:cs="Calibri"/>
          <w:color w:val="000000"/>
          <w:lang w:eastAsia="en-CA"/>
        </w:rPr>
        <w:t>Montufar</w:t>
      </w:r>
      <w:proofErr w:type="spellEnd"/>
      <w:r>
        <w:rPr>
          <w:rFonts w:ascii="Calibri" w:eastAsia="Times New Roman" w:hAnsi="Calibri" w:cs="Calibri"/>
          <w:color w:val="000000"/>
          <w:lang w:eastAsia="en-CA"/>
        </w:rPr>
        <w:t xml:space="preserve">) there are 28 registered boards, of which 5 leaders are women and 23 are men (SENAGUA, 2018). </w:t>
      </w:r>
    </w:p>
    <w:p w14:paraId="2DAE8BF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1535F54" w14:textId="65392C7B"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Likewise, </w:t>
      </w:r>
      <w:proofErr w:type="gramStart"/>
      <w:r>
        <w:rPr>
          <w:rFonts w:ascii="Calibri" w:eastAsia="Times New Roman" w:hAnsi="Calibri" w:cs="Calibri"/>
          <w:color w:val="000000"/>
          <w:lang w:eastAsia="en-CA"/>
        </w:rPr>
        <w:t>taking into account</w:t>
      </w:r>
      <w:proofErr w:type="gramEnd"/>
      <w:r>
        <w:rPr>
          <w:rFonts w:ascii="Calibri" w:eastAsia="Times New Roman" w:hAnsi="Calibri" w:cs="Calibri"/>
          <w:color w:val="000000"/>
          <w:lang w:eastAsia="en-CA"/>
        </w:rPr>
        <w:t xml:space="preserve"> the diagnosis of rural aqueduct service providers in the former province of Obando, in the municipalities belonging to the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Basin, it was identified that, of the 46 aqueducts visited, 93% have men as legal representatives (43 aqueducts) and only 7% have a leadership of women (3 aqueducts). The maintenance of the aqueducts is carried out by 45 men and 1 woman. </w:t>
      </w:r>
    </w:p>
    <w:p w14:paraId="667CDEA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 xml:space="preserve">Summary: </w:t>
      </w:r>
    </w:p>
    <w:p w14:paraId="5F775F6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194A48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Carchi-</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basin situates women in the </w:t>
      </w:r>
      <w:r>
        <w:rPr>
          <w:rFonts w:ascii="Calibri" w:eastAsia="Times New Roman" w:hAnsi="Calibri" w:cs="Calibri"/>
          <w:i/>
          <w:iCs/>
          <w:color w:val="000000"/>
          <w:lang w:eastAsia="en-CA"/>
        </w:rPr>
        <w:t xml:space="preserve">use </w:t>
      </w:r>
      <w:r>
        <w:rPr>
          <w:rFonts w:ascii="Calibri" w:eastAsia="Times New Roman" w:hAnsi="Calibri" w:cs="Calibri"/>
          <w:color w:val="000000"/>
          <w:lang w:eastAsia="en-CA"/>
        </w:rPr>
        <w:t xml:space="preserve">of water according to their traditional gender roles in nutrition, home care, crops and management of minor species for subsistence and men in the irrigation of the crops and land utilized for horticulture. </w:t>
      </w:r>
    </w:p>
    <w:p w14:paraId="3E779C6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DB8672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w:t>
      </w:r>
      <w:r>
        <w:rPr>
          <w:rFonts w:ascii="Calibri" w:eastAsia="Times New Roman" w:hAnsi="Calibri" w:cs="Calibri"/>
          <w:i/>
          <w:iCs/>
          <w:color w:val="000000"/>
          <w:lang w:eastAsia="en-CA"/>
        </w:rPr>
        <w:t>participation</w:t>
      </w:r>
      <w:r>
        <w:rPr>
          <w:rFonts w:ascii="Calibri" w:eastAsia="Times New Roman" w:hAnsi="Calibri" w:cs="Calibri"/>
          <w:color w:val="000000"/>
          <w:lang w:eastAsia="en-CA"/>
        </w:rPr>
        <w:t xml:space="preserve"> at the community level, there are gender barriers for women due to the lack of technical training and because of gender-discrimination. In addition, there is a lack of regulations that effectively promote affirmative actions for women´s participation.</w:t>
      </w:r>
    </w:p>
    <w:p w14:paraId="7659FD8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5605DB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w:t>
      </w:r>
      <w:r>
        <w:rPr>
          <w:rFonts w:ascii="Calibri" w:eastAsia="Times New Roman" w:hAnsi="Calibri" w:cs="Calibri"/>
          <w:i/>
          <w:iCs/>
          <w:color w:val="000000"/>
          <w:lang w:eastAsia="en-CA"/>
        </w:rPr>
        <w:t>the decision-making</w:t>
      </w:r>
      <w:r>
        <w:rPr>
          <w:rFonts w:ascii="Calibri" w:eastAsia="Times New Roman" w:hAnsi="Calibri" w:cs="Calibri"/>
          <w:color w:val="000000"/>
          <w:lang w:eastAsia="en-CA"/>
        </w:rPr>
        <w:t xml:space="preserve"> around water, the macho culture in the organizations was identified as a limiting principal for the quality of participation of women, and that this limits the lack of empowerment and political leadership of women to participate in equal ways. </w:t>
      </w:r>
      <w:proofErr w:type="gramStart"/>
      <w:r>
        <w:rPr>
          <w:rFonts w:ascii="Calibri" w:eastAsia="Times New Roman" w:hAnsi="Calibri" w:cs="Calibri"/>
          <w:color w:val="000000"/>
          <w:lang w:eastAsia="en-CA"/>
        </w:rPr>
        <w:t>In particular, the</w:t>
      </w:r>
      <w:proofErr w:type="gramEnd"/>
      <w:r>
        <w:rPr>
          <w:rFonts w:ascii="Calibri" w:eastAsia="Times New Roman" w:hAnsi="Calibri" w:cs="Calibri"/>
          <w:color w:val="000000"/>
          <w:lang w:eastAsia="en-CA"/>
        </w:rPr>
        <w:t xml:space="preserve"> absence of women in decision-making in indigenous communities and </w:t>
      </w:r>
      <w:proofErr w:type="spellStart"/>
      <w:r>
        <w:rPr>
          <w:rFonts w:ascii="Calibri" w:eastAsia="Times New Roman" w:hAnsi="Calibri" w:cs="Calibri"/>
          <w:color w:val="000000"/>
          <w:lang w:eastAsia="en-CA"/>
        </w:rPr>
        <w:t>Resguardos</w:t>
      </w:r>
      <w:proofErr w:type="spellEnd"/>
      <w:r>
        <w:rPr>
          <w:rFonts w:ascii="Calibri" w:eastAsia="Times New Roman" w:hAnsi="Calibri" w:cs="Calibri"/>
          <w:color w:val="000000"/>
          <w:lang w:eastAsia="en-CA"/>
        </w:rPr>
        <w:t xml:space="preserve"> - Indigenous Cabildos where most of the authorities are occupied by men was identified. </w:t>
      </w:r>
    </w:p>
    <w:p w14:paraId="0CF81385"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F802801" w14:textId="5D6C44D2" w:rsidR="00DD3961" w:rsidRP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 xml:space="preserve">The lack of formal mechanisms for their integration was mentioned as limiting the participation of young people. </w:t>
      </w:r>
    </w:p>
    <w:p w14:paraId="028B8D74" w14:textId="77777777" w:rsidR="00DD3961" w:rsidRDefault="00DD3961" w:rsidP="00DD3961">
      <w:pPr>
        <w:pStyle w:val="Heading1"/>
        <w:jc w:val="both"/>
        <w:rPr>
          <w:rFonts w:asciiTheme="minorHAnsi" w:hAnsiTheme="minorHAnsi"/>
          <w:sz w:val="24"/>
          <w:szCs w:val="24"/>
        </w:rPr>
      </w:pPr>
      <w:bookmarkStart w:id="41" w:name="_Toc8644435"/>
      <w:bookmarkStart w:id="42" w:name="_Toc8644537"/>
      <w:r>
        <w:rPr>
          <w:rFonts w:asciiTheme="minorHAnsi" w:hAnsiTheme="minorHAnsi"/>
          <w:sz w:val="24"/>
          <w:szCs w:val="24"/>
        </w:rPr>
        <w:t>8. Main findings</w:t>
      </w:r>
      <w:bookmarkEnd w:id="41"/>
      <w:bookmarkEnd w:id="42"/>
      <w:r>
        <w:rPr>
          <w:rFonts w:asciiTheme="minorHAnsi" w:hAnsiTheme="minorHAnsi"/>
          <w:sz w:val="24"/>
          <w:szCs w:val="24"/>
        </w:rPr>
        <w:t xml:space="preserve"> </w:t>
      </w:r>
    </w:p>
    <w:p w14:paraId="3EBE3B8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This diagnosis found several common aspects in the three basins, where, despite differences in geographic location, ethnic composition or levels of organization, they have similarities in their gender conditions. </w:t>
      </w:r>
    </w:p>
    <w:p w14:paraId="22FDD60E"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F0989C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the Mira basin, water access and management are directly related to the gender roles assigned to men and women, thus placing men at risk and women on issues of drinking water. In terms of participation and decision-making, leaders at the local levels stand out; however, it is not yet sufficiently representative at the basin level since very few women occupy positions of decision-making.</w:t>
      </w:r>
    </w:p>
    <w:p w14:paraId="2BF8C94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24E8509"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Carchi - </w:t>
      </w:r>
      <w:proofErr w:type="spellStart"/>
      <w:r>
        <w:rPr>
          <w:rFonts w:ascii="Calibri" w:eastAsia="Times New Roman" w:hAnsi="Calibri" w:cs="Calibri"/>
          <w:color w:val="000000"/>
          <w:lang w:eastAsia="en-CA"/>
        </w:rPr>
        <w:t>Guáitara</w:t>
      </w:r>
      <w:proofErr w:type="spellEnd"/>
      <w:r>
        <w:rPr>
          <w:rFonts w:ascii="Calibri" w:eastAsia="Times New Roman" w:hAnsi="Calibri" w:cs="Calibri"/>
          <w:color w:val="000000"/>
          <w:lang w:eastAsia="en-CA"/>
        </w:rPr>
        <w:t xml:space="preserve"> basin, </w:t>
      </w:r>
      <w:proofErr w:type="gramStart"/>
      <w:r>
        <w:rPr>
          <w:rFonts w:ascii="Calibri" w:eastAsia="Times New Roman" w:hAnsi="Calibri" w:cs="Calibri"/>
          <w:color w:val="000000"/>
          <w:lang w:eastAsia="en-CA"/>
        </w:rPr>
        <w:t>similar to</w:t>
      </w:r>
      <w:proofErr w:type="gramEnd"/>
      <w:r>
        <w:rPr>
          <w:rFonts w:ascii="Calibri" w:eastAsia="Times New Roman" w:hAnsi="Calibri" w:cs="Calibri"/>
          <w:color w:val="000000"/>
          <w:lang w:eastAsia="en-CA"/>
        </w:rPr>
        <w:t xml:space="preserve"> the Mira basin, relates women in the use of water in accordance with their traditional gender roles. The participation and decision-making of women is very limited in the mechanisms of organization around water that in this basin are very scarce. This situation is exacerbated in the indigenous populations where the authorities are mostly occupied by men.</w:t>
      </w:r>
    </w:p>
    <w:p w14:paraId="19524E6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595F494"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w:t>
      </w:r>
      <w:proofErr w:type="spellStart"/>
      <w:r>
        <w:rPr>
          <w:rFonts w:ascii="Calibri" w:eastAsia="Times New Roman" w:hAnsi="Calibri" w:cs="Calibri"/>
          <w:color w:val="000000"/>
          <w:lang w:eastAsia="en-CA"/>
        </w:rPr>
        <w:t>Mataje</w:t>
      </w:r>
      <w:proofErr w:type="spellEnd"/>
      <w:r>
        <w:rPr>
          <w:rFonts w:ascii="Calibri" w:eastAsia="Times New Roman" w:hAnsi="Calibri" w:cs="Calibri"/>
          <w:color w:val="000000"/>
          <w:lang w:eastAsia="en-CA"/>
        </w:rPr>
        <w:t xml:space="preserve"> basin differs from the other two due to the lack of organization mechanisms around water; in addition to not having information available, an important lack of institutional attention from the states for this area was evidenced. The basin in general shows inadequate conditions of access and water quality. Existing participation and decision-making mechanisms in this basin are not related to water governance but to productive activities.</w:t>
      </w:r>
    </w:p>
    <w:p w14:paraId="64D4764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5C9870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Thus, in general, some common aspects can be identified in terms of access, management, participation and decision making. Women were responsible for the management of potable water in terms of nutrition, home care, crop care and management of minor species for subsistence; men were associated with productive activities, mainly agricultural, linked to irrigation.</w:t>
      </w:r>
    </w:p>
    <w:p w14:paraId="5F4F366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CE79D4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Regarding participation, and </w:t>
      </w:r>
      <w:proofErr w:type="gramStart"/>
      <w:r>
        <w:rPr>
          <w:rFonts w:ascii="Calibri" w:eastAsia="Times New Roman" w:hAnsi="Calibri" w:cs="Calibri"/>
          <w:color w:val="000000"/>
          <w:lang w:eastAsia="en-CA"/>
        </w:rPr>
        <w:t>despite the fact that</w:t>
      </w:r>
      <w:proofErr w:type="gramEnd"/>
      <w:r>
        <w:rPr>
          <w:rFonts w:ascii="Calibri" w:eastAsia="Times New Roman" w:hAnsi="Calibri" w:cs="Calibri"/>
          <w:color w:val="000000"/>
          <w:lang w:eastAsia="en-CA"/>
        </w:rPr>
        <w:t xml:space="preserve"> state entities recommend gender parity in elections at different dignities, female representation in Ecuador of the total of potable water boards, is only 15%, and in the case of irrigation boards, representation only reaches 4%. These are figures that show the very limited decision-making participation of women who live in the study basins. </w:t>
      </w:r>
    </w:p>
    <w:p w14:paraId="5C88C684"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634923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It was concluded that women face barriers to access, participation and decision making in the governance of water in the study basins, mainly due to: lack of access to technical training; low leadership capacity due to less exposure and training in public spaces; inequitable power relations in spaces dominated by men where discriminatory practices are carried out and their technical capacities are disparaged; overload of work in the family environment that conditions their participation; and denial of gender equality based on cultural beliefs where it is considered that women are not able to represent all people on technical and political issues.</w:t>
      </w:r>
    </w:p>
    <w:p w14:paraId="29D92C48"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0B848EC4"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Finally, a common denominator was identified in youth that shows disinterest and lack of motivation to participate in spaces of social participation in general and in water governance </w:t>
      </w:r>
      <w:proofErr w:type="gramStart"/>
      <w:r>
        <w:rPr>
          <w:rFonts w:ascii="Calibri" w:eastAsia="Times New Roman" w:hAnsi="Calibri" w:cs="Calibri"/>
          <w:color w:val="000000"/>
          <w:lang w:eastAsia="en-CA"/>
        </w:rPr>
        <w:t>instances in particular</w:t>
      </w:r>
      <w:proofErr w:type="gramEnd"/>
      <w:r>
        <w:rPr>
          <w:rFonts w:ascii="Calibri" w:eastAsia="Times New Roman" w:hAnsi="Calibri" w:cs="Calibri"/>
          <w:color w:val="000000"/>
          <w:lang w:eastAsia="en-CA"/>
        </w:rPr>
        <w:t xml:space="preserve">. It was concluded that they are not integrated due to a lack of involvement in activities that have traditionally been the purview of older men, and they consider that there will be little economic retribution. </w:t>
      </w:r>
    </w:p>
    <w:p w14:paraId="7765A90D" w14:textId="77777777" w:rsidR="00DD3961" w:rsidRDefault="00DD3961" w:rsidP="00DD3961">
      <w:pPr>
        <w:pStyle w:val="Heading1"/>
        <w:jc w:val="both"/>
        <w:rPr>
          <w:rFonts w:asciiTheme="minorHAnsi" w:hAnsiTheme="minorHAnsi"/>
          <w:sz w:val="24"/>
          <w:szCs w:val="24"/>
        </w:rPr>
      </w:pPr>
      <w:bookmarkStart w:id="43" w:name="_Toc8644436"/>
      <w:bookmarkStart w:id="44" w:name="_Toc8644538"/>
      <w:r>
        <w:rPr>
          <w:rFonts w:asciiTheme="minorHAnsi" w:hAnsiTheme="minorHAnsi"/>
          <w:sz w:val="24"/>
          <w:szCs w:val="24"/>
        </w:rPr>
        <w:t>9. Who would benefit from the future project?</w:t>
      </w:r>
      <w:bookmarkEnd w:id="43"/>
      <w:bookmarkEnd w:id="44"/>
    </w:p>
    <w:p w14:paraId="12134C3D"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findings of this diagnosis show us that concrete actions are required to face the imbalanced conditions of participation and decision making of men and women in the local governance of water in the basins of study.</w:t>
      </w:r>
      <w:r>
        <w:rPr>
          <w:rFonts w:ascii="Times New Roman" w:eastAsia="Times New Roman" w:hAnsi="Times New Roman" w:cs="Times New Roman"/>
          <w:sz w:val="24"/>
          <w:szCs w:val="24"/>
          <w:lang w:eastAsia="en-CA"/>
        </w:rPr>
        <w:br/>
      </w:r>
    </w:p>
    <w:p w14:paraId="0960850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There are aspects of influence, such as the lack of credibility regarding women's capacities in terms of irrigation, representation in technical and political spaces, and their limited technical capacities in water management, all this obeying a territorial dynamic with cultural patterns of denial of gender equity. </w:t>
      </w:r>
    </w:p>
    <w:p w14:paraId="56DBE7E2" w14:textId="77777777" w:rsidR="00DD3961" w:rsidRDefault="00DD3961" w:rsidP="00DD3961">
      <w:pPr>
        <w:spacing w:after="0" w:line="240" w:lineRule="auto"/>
        <w:jc w:val="both"/>
        <w:rPr>
          <w:rFonts w:ascii="Calibri" w:eastAsia="Times New Roman" w:hAnsi="Calibri" w:cs="Calibri"/>
          <w:color w:val="000000"/>
          <w:lang w:eastAsia="en-CA"/>
        </w:rPr>
      </w:pPr>
    </w:p>
    <w:p w14:paraId="4D5BA57D" w14:textId="77777777" w:rsid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It is important to note that the scope of the current project focuses on the construction of cross-border governance in three river basins. This in the first instance does not directly focus on generating an impact on governance at the local level where the main shortcomings of participation and decision-making of women that result from this diagnostic could be directly addressed.</w:t>
      </w:r>
    </w:p>
    <w:p w14:paraId="4FE884D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263C796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In all the outcomes of the project it </w:t>
      </w:r>
      <w:proofErr w:type="gramStart"/>
      <w:r>
        <w:rPr>
          <w:rFonts w:ascii="Calibri" w:eastAsia="Times New Roman" w:hAnsi="Calibri" w:cs="Calibri"/>
          <w:color w:val="000000"/>
          <w:lang w:eastAsia="en-CA"/>
        </w:rPr>
        <w:t>have</w:t>
      </w:r>
      <w:proofErr w:type="gramEnd"/>
      <w:r>
        <w:rPr>
          <w:rFonts w:ascii="Calibri" w:eastAsia="Times New Roman" w:hAnsi="Calibri" w:cs="Calibri"/>
          <w:color w:val="000000"/>
          <w:lang w:eastAsia="en-CA"/>
        </w:rPr>
        <w:t xml:space="preserve"> been identified opportunities to face this situation and generate impacts on these perceptions, as well as to strengthen the participation of women (and in some cases, in aspects to address the issues of youth). This is expected to generate direct benefits mainly to favour a gender balance.</w:t>
      </w:r>
    </w:p>
    <w:p w14:paraId="7909593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6AFE6F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design of the project is focused on generating contributions and benefits at the level of the transboundary basin. In the first two outcomes (1. TDA / 2. SAP) the activities that have been designed will be carried out at the level of the basins with joint execution of the two countries. In these spaces, affirmative actions have been identified, such as the inclusion of minimum percentages of women's participation, as well as the inclusion of specialized personnel to follow up on affirmative actions and the gender inclusion plan; among others, specialized studies on the governance of water and gender will be carried out.</w:t>
      </w:r>
      <w:r>
        <w:rPr>
          <w:rFonts w:ascii="Calibri" w:eastAsia="Times New Roman" w:hAnsi="Calibri" w:cs="Calibri"/>
          <w:color w:val="000000"/>
          <w:lang w:eastAsia="en-CA"/>
        </w:rPr>
        <w:br/>
      </w:r>
    </w:p>
    <w:p w14:paraId="553DAD0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the following two project outcomes (3. Training.  4. Implementation of pilot projects) the implementation focuses on actions with the populations of the watersheds and therefore, activities were identified to strengthen capacities in water governance and gender, as well as reports of qualitative participation of men and women, among others. In all cases, participation in all areas of the project is reported differently by sex.</w:t>
      </w:r>
    </w:p>
    <w:p w14:paraId="3A2326F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19B2B5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this way, the project systematically integrated a series of specific activities sensitive to gender, including affirmative actions, to provide opportunities and benefits and contribute to changing the reality of participation in the project's intervention areas (See Gender Inclusion Plan).</w:t>
      </w:r>
      <w:r>
        <w:rPr>
          <w:rFonts w:ascii="Times New Roman" w:eastAsia="Times New Roman" w:hAnsi="Times New Roman" w:cs="Times New Roman"/>
          <w:sz w:val="24"/>
          <w:szCs w:val="24"/>
          <w:lang w:eastAsia="en-CA"/>
        </w:rPr>
        <w:t xml:space="preserve"> </w:t>
      </w:r>
      <w:r>
        <w:rPr>
          <w:rFonts w:ascii="Calibri" w:eastAsia="Times New Roman" w:hAnsi="Calibri" w:cs="Calibri"/>
          <w:color w:val="000000"/>
          <w:lang w:eastAsia="en-CA"/>
        </w:rPr>
        <w:t>In all these actions, we are starting from the fact that, if we achieve a greater empowerment of women in social organizations around water, greater benefits can be achieved for men and women in the basins and better decisions can be made about water governance.</w:t>
      </w:r>
    </w:p>
    <w:p w14:paraId="68D9D535" w14:textId="77777777" w:rsidR="00DD3961" w:rsidRDefault="00DD3961" w:rsidP="00DD3961">
      <w:pPr>
        <w:pStyle w:val="Heading1"/>
        <w:jc w:val="both"/>
        <w:rPr>
          <w:rFonts w:asciiTheme="minorHAnsi" w:hAnsiTheme="minorHAnsi"/>
          <w:sz w:val="24"/>
          <w:szCs w:val="24"/>
        </w:rPr>
      </w:pPr>
      <w:bookmarkStart w:id="45" w:name="_Toc8644437"/>
      <w:bookmarkStart w:id="46" w:name="_Toc8644539"/>
      <w:r>
        <w:rPr>
          <w:rFonts w:asciiTheme="minorHAnsi" w:hAnsiTheme="minorHAnsi"/>
          <w:sz w:val="24"/>
          <w:szCs w:val="24"/>
        </w:rPr>
        <w:t>10. Opportunities for the integration of the gender equality approach in the project</w:t>
      </w:r>
      <w:bookmarkEnd w:id="45"/>
      <w:bookmarkEnd w:id="46"/>
      <w:r>
        <w:rPr>
          <w:rFonts w:asciiTheme="minorHAnsi" w:hAnsiTheme="minorHAnsi"/>
          <w:sz w:val="24"/>
          <w:szCs w:val="24"/>
        </w:rPr>
        <w:t xml:space="preserve"> </w:t>
      </w:r>
    </w:p>
    <w:p w14:paraId="07D54C2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The project </w:t>
      </w:r>
      <w:r>
        <w:rPr>
          <w:rFonts w:ascii="Calibri" w:eastAsia="Times New Roman" w:hAnsi="Calibri" w:cs="Calibri"/>
          <w:i/>
          <w:color w:val="000000"/>
          <w:lang w:eastAsia="en-CA"/>
        </w:rPr>
        <w:t xml:space="preserve">Integrated Management of Water Resources of the binational basins Mira, </w:t>
      </w:r>
      <w:proofErr w:type="spellStart"/>
      <w:r>
        <w:rPr>
          <w:rFonts w:ascii="Calibri" w:eastAsia="Times New Roman" w:hAnsi="Calibri" w:cs="Calibri"/>
          <w:i/>
          <w:color w:val="000000"/>
          <w:lang w:eastAsia="en-CA"/>
        </w:rPr>
        <w:t>Mataje</w:t>
      </w:r>
      <w:proofErr w:type="spellEnd"/>
      <w:r>
        <w:rPr>
          <w:rFonts w:ascii="Calibri" w:eastAsia="Times New Roman" w:hAnsi="Calibri" w:cs="Calibri"/>
          <w:i/>
          <w:color w:val="000000"/>
          <w:lang w:eastAsia="en-CA"/>
        </w:rPr>
        <w:t xml:space="preserve"> and Carchi, </w:t>
      </w:r>
      <w:proofErr w:type="spellStart"/>
      <w:r>
        <w:rPr>
          <w:rFonts w:ascii="Calibri" w:eastAsia="Times New Roman" w:hAnsi="Calibri" w:cs="Calibri"/>
          <w:i/>
          <w:color w:val="000000"/>
          <w:lang w:eastAsia="en-CA"/>
        </w:rPr>
        <w:t>Guáitara</w:t>
      </w:r>
      <w:proofErr w:type="spellEnd"/>
      <w:r>
        <w:rPr>
          <w:rFonts w:ascii="Calibri" w:eastAsia="Times New Roman" w:hAnsi="Calibri" w:cs="Calibri"/>
          <w:color w:val="000000"/>
          <w:lang w:eastAsia="en-CA"/>
        </w:rPr>
        <w:t xml:space="preserve"> has as its main objective the strengthening of institutional and management capacities at the regional level, local and community to achieve environmental and socioeconomic benefits.</w:t>
      </w:r>
      <w:r>
        <w:rPr>
          <w:rFonts w:ascii="Corbel" w:eastAsia="Times New Roman" w:hAnsi="Corbel" w:cs="Times New Roman"/>
          <w:color w:val="000000"/>
          <w:sz w:val="48"/>
          <w:szCs w:val="48"/>
          <w:lang w:eastAsia="en-CA"/>
        </w:rPr>
        <w:t xml:space="preserve"> </w:t>
      </w:r>
      <w:r>
        <w:rPr>
          <w:rFonts w:ascii="Calibri" w:eastAsia="Times New Roman" w:hAnsi="Calibri" w:cs="Calibri"/>
          <w:color w:val="000000"/>
          <w:lang w:eastAsia="en-CA"/>
        </w:rPr>
        <w:t xml:space="preserve">The scope of the project is focused on the construction of cross-border governance in three river basins. </w:t>
      </w:r>
    </w:p>
    <w:p w14:paraId="1CD7AF0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2A12FB2" w14:textId="1D9919D6" w:rsidR="00DD3961" w:rsidRPr="00DD3961" w:rsidRDefault="00DD3961" w:rsidP="00DD3961">
      <w:pPr>
        <w:spacing w:after="0" w:line="240" w:lineRule="auto"/>
        <w:jc w:val="both"/>
        <w:rPr>
          <w:rFonts w:ascii="Calibri" w:eastAsia="Times New Roman" w:hAnsi="Calibri" w:cs="Calibri"/>
          <w:color w:val="000000"/>
          <w:lang w:eastAsia="en-CA"/>
        </w:rPr>
      </w:pPr>
      <w:r>
        <w:rPr>
          <w:rFonts w:ascii="Calibri" w:eastAsia="Times New Roman" w:hAnsi="Calibri" w:cs="Calibri"/>
          <w:color w:val="000000"/>
          <w:lang w:eastAsia="en-CA"/>
        </w:rPr>
        <w:t>The project design has integrated specific activities and it does so by considering gender equality as a significant objective, which is why it is considered a project with a gender marker 2 (GEN 2)</w:t>
      </w:r>
      <w:r>
        <w:rPr>
          <w:rStyle w:val="FootnoteReference"/>
          <w:rFonts w:ascii="Calibri" w:eastAsia="Times New Roman" w:hAnsi="Calibri" w:cs="Calibri"/>
          <w:color w:val="000000"/>
          <w:lang w:eastAsia="en-CA"/>
        </w:rPr>
        <w:footnoteReference w:id="21"/>
      </w:r>
      <w:r>
        <w:rPr>
          <w:rFonts w:ascii="Calibri" w:eastAsia="Times New Roman" w:hAnsi="Calibri" w:cs="Calibri"/>
          <w:color w:val="000000"/>
          <w:lang w:eastAsia="en-CA"/>
        </w:rPr>
        <w:t>. In this way, with the commitment to reduce gender inequalities in the equal access of project benefits, opportunities have been identified for activities to integrate specific indicators and actions and to balance the participation of women and men. In some cases, affirmative action measures were generated for the integration of women in the project activities. This is an integral and detailed part in the elaboration of the "Inclusion Plan for Gender Equality", annexed to the PRODOC.</w:t>
      </w:r>
    </w:p>
    <w:p w14:paraId="2CAFC6C3" w14:textId="77777777" w:rsidR="00DD3961" w:rsidRDefault="00DD3961" w:rsidP="00DD3961">
      <w:pPr>
        <w:pStyle w:val="Heading1"/>
        <w:rPr>
          <w:rFonts w:asciiTheme="minorHAnsi" w:hAnsiTheme="minorHAnsi"/>
          <w:sz w:val="24"/>
          <w:szCs w:val="24"/>
        </w:rPr>
      </w:pPr>
      <w:bookmarkStart w:id="47" w:name="_Toc8644438"/>
      <w:bookmarkStart w:id="48" w:name="_Toc8644540"/>
      <w:r>
        <w:rPr>
          <w:rFonts w:asciiTheme="minorHAnsi" w:hAnsiTheme="minorHAnsi"/>
          <w:sz w:val="24"/>
          <w:szCs w:val="24"/>
        </w:rPr>
        <w:t>11. Summary of general issues in water governance</w:t>
      </w:r>
      <w:bookmarkEnd w:id="47"/>
      <w:bookmarkEnd w:id="48"/>
      <w:r>
        <w:rPr>
          <w:rFonts w:asciiTheme="minorHAnsi" w:hAnsiTheme="minorHAnsi"/>
          <w:sz w:val="24"/>
          <w:szCs w:val="24"/>
        </w:rPr>
        <w:t xml:space="preserve"> </w:t>
      </w:r>
    </w:p>
    <w:p w14:paraId="6E68ED7F"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tbl>
      <w:tblPr>
        <w:tblW w:w="0" w:type="auto"/>
        <w:tblLook w:val="04A0" w:firstRow="1" w:lastRow="0" w:firstColumn="1" w:lastColumn="0" w:noHBand="0" w:noVBand="1"/>
      </w:tblPr>
      <w:tblGrid>
        <w:gridCol w:w="1283"/>
        <w:gridCol w:w="1859"/>
        <w:gridCol w:w="1789"/>
        <w:gridCol w:w="2119"/>
        <w:gridCol w:w="1778"/>
      </w:tblGrid>
      <w:tr w:rsidR="00DD3961" w14:paraId="3F8BE061" w14:textId="77777777" w:rsidTr="00DD3961">
        <w:tc>
          <w:tcPr>
            <w:tcW w:w="0" w:type="auto"/>
            <w:tcBorders>
              <w:top w:val="single" w:sz="4" w:space="0" w:color="000000"/>
              <w:left w:val="single" w:sz="4" w:space="0" w:color="000000"/>
              <w:bottom w:val="single" w:sz="4" w:space="0" w:color="000000"/>
              <w:right w:val="single" w:sz="4" w:space="0" w:color="000000"/>
            </w:tcBorders>
            <w:vAlign w:val="center"/>
            <w:hideMark/>
          </w:tcPr>
          <w:p w14:paraId="4A6C05F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Governance bodies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D2EA7A2"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Description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E1BAD4"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Access and management</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BC95411"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Participation and decision-making</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5AB1685"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Gender situation</w:t>
            </w:r>
          </w:p>
        </w:tc>
      </w:tr>
      <w:tr w:rsidR="00DD3961" w14:paraId="499B549E" w14:textId="77777777" w:rsidTr="00DD3961">
        <w:trPr>
          <w:trHeight w:val="46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42BD10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Watershed Council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FE4FE2"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Conformed by representatives of sectional governments, State institutions, community (commercial) productive organizations (irrigation and drinking water) and universities.</w:t>
            </w:r>
          </w:p>
        </w:tc>
        <w:tc>
          <w:tcPr>
            <w:tcW w:w="0" w:type="auto"/>
            <w:tcBorders>
              <w:top w:val="single" w:sz="4" w:space="0" w:color="000000"/>
              <w:left w:val="single" w:sz="4" w:space="0" w:color="000000"/>
              <w:bottom w:val="single" w:sz="4" w:space="0" w:color="000000"/>
              <w:right w:val="single" w:sz="4" w:space="0" w:color="000000"/>
            </w:tcBorders>
            <w:vAlign w:val="center"/>
          </w:tcPr>
          <w:p w14:paraId="6A4B6B3D" w14:textId="77777777" w:rsidR="00DD3961" w:rsidRDefault="00DD3961">
            <w:pPr>
              <w:spacing w:after="0" w:line="240" w:lineRule="auto"/>
              <w:rPr>
                <w:rFonts w:ascii="Times New Roman" w:eastAsia="Times New Roman" w:hAnsi="Times New Roman" w:cs="Times New Roman"/>
                <w:sz w:val="24"/>
                <w:szCs w:val="24"/>
                <w:lang w:eastAsia="en-CA"/>
              </w:rPr>
            </w:pPr>
          </w:p>
          <w:p w14:paraId="6A5DF0B4"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Instance led by state entities and sectional governments.</w:t>
            </w:r>
          </w:p>
          <w:p w14:paraId="30E818A9"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Only legalized organizations have access to these spaces.</w:t>
            </w:r>
          </w:p>
          <w:p w14:paraId="5306DB1E" w14:textId="77777777" w:rsidR="00DD3961" w:rsidRDefault="00DD3961">
            <w:pPr>
              <w:spacing w:after="0" w:line="240" w:lineRule="auto"/>
              <w:rPr>
                <w:rFonts w:ascii="Times New Roman" w:eastAsia="Times New Roman" w:hAnsi="Times New Roman" w:cs="Times New Roman"/>
                <w:sz w:val="24"/>
                <w:szCs w:val="24"/>
                <w:lang w:eastAsia="en-CA"/>
              </w:rPr>
            </w:pPr>
          </w:p>
          <w:p w14:paraId="4910F1ED"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1DFDBF"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Problems of representativeness in the committees, dominated by state instances and sectional governments.</w:t>
            </w:r>
          </w:p>
          <w:p w14:paraId="5B9C4A66"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Low representation of grassroots organizations (irrigation and potable water boards). </w:t>
            </w:r>
          </w:p>
          <w:p w14:paraId="15DF05DF"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Absence of civil society organizations.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7F0F52F"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Equitable participation of men and women in the nomination of dignities. </w:t>
            </w:r>
          </w:p>
          <w:p w14:paraId="61FAD640"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The majority presence of men in the appointment of representatives. </w:t>
            </w:r>
          </w:p>
          <w:p w14:paraId="6EFA4EB5"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Little credibility of women's leadership.  </w:t>
            </w:r>
          </w:p>
          <w:p w14:paraId="13AA6074"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Machismo practices hinder the election and participation of women in high dignities.</w:t>
            </w:r>
          </w:p>
          <w:p w14:paraId="0A430ECC"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Little participation of young people.    </w:t>
            </w:r>
          </w:p>
        </w:tc>
      </w:tr>
      <w:tr w:rsidR="00DD3961" w14:paraId="3F78D311" w14:textId="77777777" w:rsidTr="00DD3961">
        <w:trPr>
          <w:trHeight w:val="3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70A073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Irrigation boards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C2BBD2"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Conformed by irrigators of diverse communities or populations.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AC12AB"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Irrigating organizations legalized through water authorizations. Community organizations legally recognized and with water authorization.</w:t>
            </w:r>
          </w:p>
          <w:p w14:paraId="1F5530D8"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Each organization chooses its representatives.</w:t>
            </w:r>
          </w:p>
          <w:p w14:paraId="223F98BA"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Irrigators participate whose properties are of different surfaces. </w:t>
            </w:r>
          </w:p>
          <w:p w14:paraId="7CD2CB44"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They have water system operators.        </w:t>
            </w:r>
          </w:p>
        </w:tc>
        <w:tc>
          <w:tcPr>
            <w:tcW w:w="0" w:type="auto"/>
            <w:tcBorders>
              <w:top w:val="single" w:sz="4" w:space="0" w:color="000000"/>
              <w:left w:val="single" w:sz="4" w:space="0" w:color="000000"/>
              <w:bottom w:val="single" w:sz="4" w:space="0" w:color="000000"/>
              <w:right w:val="single" w:sz="4" w:space="0" w:color="000000"/>
            </w:tcBorders>
            <w:vAlign w:val="center"/>
          </w:tcPr>
          <w:p w14:paraId="3DCCFCA5" w14:textId="77777777" w:rsidR="00DD3961" w:rsidRDefault="00DD3961">
            <w:pPr>
              <w:spacing w:after="0" w:line="240" w:lineRule="auto"/>
              <w:rPr>
                <w:rFonts w:ascii="Times New Roman" w:eastAsia="Times New Roman" w:hAnsi="Times New Roman" w:cs="Times New Roman"/>
                <w:sz w:val="24"/>
                <w:szCs w:val="24"/>
                <w:lang w:eastAsia="en-CA"/>
              </w:rPr>
            </w:pPr>
          </w:p>
          <w:p w14:paraId="7C05130A"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Decisions are made in a general assembly. </w:t>
            </w:r>
          </w:p>
          <w:p w14:paraId="69B86350"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There is an ascending representation to reach the Board. Starting with each oval or module, where different dignities are chosen, they can then represent on the board committee.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1C6D77E"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Majority presence of men in the appointment of representatives both in the board directive and in each module. </w:t>
            </w:r>
          </w:p>
          <w:p w14:paraId="2445D80A"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Unequal power relations between masculinities (“</w:t>
            </w:r>
            <w:proofErr w:type="spellStart"/>
            <w:r>
              <w:rPr>
                <w:rFonts w:ascii="Calibri" w:eastAsia="Times New Roman" w:hAnsi="Calibri" w:cs="Calibri"/>
                <w:color w:val="000000"/>
                <w:sz w:val="18"/>
                <w:szCs w:val="18"/>
                <w:lang w:eastAsia="en-CA"/>
              </w:rPr>
              <w:t>hacendado</w:t>
            </w:r>
            <w:proofErr w:type="spellEnd"/>
            <w:r>
              <w:rPr>
                <w:rFonts w:ascii="Calibri" w:eastAsia="Times New Roman" w:hAnsi="Calibri" w:cs="Calibri"/>
                <w:color w:val="000000"/>
                <w:sz w:val="18"/>
                <w:szCs w:val="18"/>
                <w:lang w:eastAsia="en-CA"/>
              </w:rPr>
              <w:t>” and farmer).</w:t>
            </w:r>
          </w:p>
          <w:p w14:paraId="267DB440"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Conflict resolution (water theft, cleaning community meetings- “</w:t>
            </w:r>
            <w:proofErr w:type="spellStart"/>
            <w:r>
              <w:rPr>
                <w:rFonts w:ascii="Calibri" w:eastAsia="Times New Roman" w:hAnsi="Calibri" w:cs="Calibri"/>
                <w:color w:val="000000"/>
                <w:sz w:val="18"/>
                <w:szCs w:val="18"/>
                <w:lang w:eastAsia="en-CA"/>
              </w:rPr>
              <w:t>mingas</w:t>
            </w:r>
            <w:proofErr w:type="spellEnd"/>
            <w:r>
              <w:rPr>
                <w:rFonts w:ascii="Calibri" w:eastAsia="Times New Roman" w:hAnsi="Calibri" w:cs="Calibri"/>
                <w:color w:val="000000"/>
                <w:sz w:val="18"/>
                <w:szCs w:val="18"/>
                <w:lang w:eastAsia="en-CA"/>
              </w:rPr>
              <w:t>”) where women do not want to participate.</w:t>
            </w:r>
          </w:p>
        </w:tc>
      </w:tr>
      <w:tr w:rsidR="00DD3961" w14:paraId="43122582" w14:textId="77777777" w:rsidTr="00DD3961">
        <w:tc>
          <w:tcPr>
            <w:tcW w:w="0" w:type="auto"/>
            <w:tcBorders>
              <w:top w:val="single" w:sz="4" w:space="0" w:color="000000"/>
              <w:left w:val="single" w:sz="4" w:space="0" w:color="000000"/>
              <w:bottom w:val="single" w:sz="4" w:space="0" w:color="000000"/>
              <w:right w:val="single" w:sz="4" w:space="0" w:color="000000"/>
            </w:tcBorders>
            <w:vAlign w:val="center"/>
            <w:hideMark/>
          </w:tcPr>
          <w:p w14:paraId="1946088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Potable water boards or aqueducts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C1ABE3"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Conformed by users of different communities, indigenous reserves, and localities.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EBE793"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They are autonomous, regulated by national water institutions. They provide the service of supplying users.</w:t>
            </w:r>
          </w:p>
          <w:p w14:paraId="331FD083"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Each organization chooses its representatives.</w:t>
            </w:r>
          </w:p>
          <w:p w14:paraId="668F10D2"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Administrative management</w:t>
            </w:r>
          </w:p>
          <w:p w14:paraId="19854353"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They designate service fees.  </w:t>
            </w:r>
          </w:p>
          <w:p w14:paraId="2874845F"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They have operators of the water system.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906F35A"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Decisions are made in general assembly. </w:t>
            </w:r>
          </w:p>
          <w:p w14:paraId="3AB27812"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Representatives are elected at each meeting. </w:t>
            </w:r>
          </w:p>
          <w:p w14:paraId="6BB5231A" w14:textId="77777777" w:rsidR="00DD3961" w:rsidRDefault="00DD3961">
            <w:pPr>
              <w:spacing w:after="0" w:line="240" w:lineRule="auto"/>
              <w:rPr>
                <w:rFonts w:ascii="Times New Roman" w:eastAsia="Times New Roman" w:hAnsi="Times New Roman" w:cs="Times New Roman"/>
                <w:sz w:val="24"/>
                <w:szCs w:val="24"/>
                <w:lang w:eastAsia="en-CA"/>
              </w:rPr>
            </w:pPr>
            <w:proofErr w:type="gramStart"/>
            <w:r>
              <w:rPr>
                <w:rFonts w:ascii="Calibri" w:eastAsia="Times New Roman" w:hAnsi="Calibri" w:cs="Calibri"/>
                <w:color w:val="000000"/>
                <w:sz w:val="18"/>
                <w:szCs w:val="18"/>
                <w:lang w:eastAsia="en-CA"/>
              </w:rPr>
              <w:t>The majority of</w:t>
            </w:r>
            <w:proofErr w:type="gramEnd"/>
            <w:r>
              <w:rPr>
                <w:rFonts w:ascii="Calibri" w:eastAsia="Times New Roman" w:hAnsi="Calibri" w:cs="Calibri"/>
                <w:color w:val="000000"/>
                <w:sz w:val="18"/>
                <w:szCs w:val="18"/>
                <w:lang w:eastAsia="en-CA"/>
              </w:rPr>
              <w:t xml:space="preserve"> the population only participates as users of the services.</w:t>
            </w:r>
          </w:p>
          <w:p w14:paraId="1F10911C"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 xml:space="preserve">Little interest of the population in participating in the meetings (Ad hoc).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99BB1F7"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The majority presence of men in the appointment of representatives in the board's direction.</w:t>
            </w:r>
          </w:p>
          <w:p w14:paraId="450745EB"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18"/>
                <w:szCs w:val="18"/>
                <w:lang w:eastAsia="en-CA"/>
              </w:rPr>
              <w:t>Disinterest of men (there is no remuneration) and women (overload of activities and sexist practices) in participating in the meetings.  </w:t>
            </w:r>
          </w:p>
        </w:tc>
      </w:tr>
    </w:tbl>
    <w:p w14:paraId="2A35BD9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i/>
          <w:iCs/>
          <w:color w:val="000000"/>
          <w:sz w:val="20"/>
          <w:szCs w:val="20"/>
          <w:lang w:eastAsia="en-CA"/>
        </w:rPr>
        <w:t xml:space="preserve">Source: Prepared by Aracely </w:t>
      </w:r>
      <w:proofErr w:type="spellStart"/>
      <w:r>
        <w:rPr>
          <w:rFonts w:ascii="Calibri" w:eastAsia="Times New Roman" w:hAnsi="Calibri" w:cs="Calibri"/>
          <w:i/>
          <w:iCs/>
          <w:color w:val="000000"/>
          <w:sz w:val="20"/>
          <w:szCs w:val="20"/>
          <w:lang w:eastAsia="en-CA"/>
        </w:rPr>
        <w:t>Pazmiño</w:t>
      </w:r>
      <w:proofErr w:type="spellEnd"/>
    </w:p>
    <w:p w14:paraId="6AB77A76" w14:textId="77777777" w:rsidR="00DD3961" w:rsidRDefault="00DD3961" w:rsidP="00DD3961">
      <w:pPr>
        <w:pStyle w:val="Heading1"/>
        <w:rPr>
          <w:rFonts w:asciiTheme="minorHAnsi" w:hAnsiTheme="minorHAnsi"/>
          <w:sz w:val="24"/>
          <w:szCs w:val="24"/>
        </w:rPr>
      </w:pPr>
      <w:bookmarkStart w:id="49" w:name="_Toc8644439"/>
      <w:bookmarkStart w:id="50" w:name="_Toc8644541"/>
      <w:r>
        <w:rPr>
          <w:rFonts w:asciiTheme="minorHAnsi" w:hAnsiTheme="minorHAnsi"/>
          <w:sz w:val="24"/>
          <w:szCs w:val="24"/>
        </w:rPr>
        <w:t>12. Concepts and terminology</w:t>
      </w:r>
      <w:bookmarkEnd w:id="49"/>
      <w:bookmarkEnd w:id="50"/>
      <w:r>
        <w:rPr>
          <w:rFonts w:asciiTheme="minorHAnsi" w:hAnsiTheme="minorHAnsi"/>
          <w:sz w:val="24"/>
          <w:szCs w:val="24"/>
        </w:rPr>
        <w:t xml:space="preserve"> </w:t>
      </w:r>
    </w:p>
    <w:tbl>
      <w:tblPr>
        <w:tblW w:w="0" w:type="auto"/>
        <w:tblLook w:val="04A0" w:firstRow="1" w:lastRow="0" w:firstColumn="1" w:lastColumn="0" w:noHBand="0" w:noVBand="1"/>
      </w:tblPr>
      <w:tblGrid>
        <w:gridCol w:w="1801"/>
        <w:gridCol w:w="1395"/>
        <w:gridCol w:w="5632"/>
      </w:tblGrid>
      <w:tr w:rsidR="00DD3961" w14:paraId="6A034650"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BE1DF9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Term</w:t>
            </w:r>
          </w:p>
        </w:tc>
        <w:tc>
          <w:tcPr>
            <w:tcW w:w="0" w:type="auto"/>
            <w:tcBorders>
              <w:top w:val="single" w:sz="4" w:space="0" w:color="000000"/>
              <w:left w:val="single" w:sz="4" w:space="0" w:color="000000"/>
              <w:bottom w:val="single" w:sz="4" w:space="0" w:color="000000"/>
              <w:right w:val="single" w:sz="4" w:space="0" w:color="000000"/>
            </w:tcBorders>
            <w:hideMark/>
          </w:tcPr>
          <w:p w14:paraId="434AFB0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Source</w:t>
            </w:r>
          </w:p>
        </w:tc>
        <w:tc>
          <w:tcPr>
            <w:tcW w:w="0" w:type="auto"/>
            <w:tcBorders>
              <w:top w:val="single" w:sz="4" w:space="0" w:color="000000"/>
              <w:left w:val="single" w:sz="4" w:space="0" w:color="000000"/>
              <w:bottom w:val="single" w:sz="4" w:space="0" w:color="000000"/>
              <w:right w:val="single" w:sz="4" w:space="0" w:color="000000"/>
            </w:tcBorders>
            <w:hideMark/>
          </w:tcPr>
          <w:p w14:paraId="2E8CC8E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Concept</w:t>
            </w:r>
          </w:p>
        </w:tc>
      </w:tr>
      <w:tr w:rsidR="00DD3961" w14:paraId="3C6FE14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AAD5E74"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Affirmative action - measures of a special nature</w:t>
            </w:r>
          </w:p>
        </w:tc>
        <w:tc>
          <w:tcPr>
            <w:tcW w:w="0" w:type="auto"/>
            <w:tcBorders>
              <w:top w:val="single" w:sz="4" w:space="0" w:color="000000"/>
              <w:left w:val="single" w:sz="4" w:space="0" w:color="000000"/>
              <w:bottom w:val="single" w:sz="4" w:space="0" w:color="000000"/>
              <w:right w:val="single" w:sz="4" w:space="0" w:color="000000"/>
            </w:tcBorders>
            <w:hideMark/>
          </w:tcPr>
          <w:p w14:paraId="080D577E"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 Women, 2019</w:t>
            </w:r>
          </w:p>
        </w:tc>
        <w:tc>
          <w:tcPr>
            <w:tcW w:w="0" w:type="auto"/>
            <w:tcBorders>
              <w:top w:val="single" w:sz="4" w:space="0" w:color="000000"/>
              <w:left w:val="single" w:sz="4" w:space="0" w:color="000000"/>
              <w:bottom w:val="single" w:sz="4" w:space="0" w:color="000000"/>
              <w:right w:val="single" w:sz="4" w:space="0" w:color="000000"/>
            </w:tcBorders>
            <w:hideMark/>
          </w:tcPr>
          <w:p w14:paraId="02E23DF7"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353535"/>
                <w:sz w:val="20"/>
                <w:szCs w:val="20"/>
                <w:lang w:eastAsia="en-CA"/>
              </w:rPr>
              <w:t>This term refers to actions aimed at accelerating de facto equality between women and men that may, in the short term, favour women. Other terms that are usually used to refer to such "special measures" in their corrective, compensatory and promoter character are "positive action", "positive measures", "reverse discrimination", and "positive discrimination".</w:t>
            </w:r>
          </w:p>
        </w:tc>
      </w:tr>
      <w:tr w:rsidR="00DD3961" w14:paraId="2F3C709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B21611E"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Gender Gaps</w:t>
            </w:r>
          </w:p>
        </w:tc>
        <w:tc>
          <w:tcPr>
            <w:tcW w:w="0" w:type="auto"/>
            <w:tcBorders>
              <w:top w:val="single" w:sz="4" w:space="0" w:color="000000"/>
              <w:left w:val="single" w:sz="4" w:space="0" w:color="000000"/>
              <w:bottom w:val="single" w:sz="4" w:space="0" w:color="000000"/>
              <w:right w:val="single" w:sz="4" w:space="0" w:color="000000"/>
            </w:tcBorders>
            <w:hideMark/>
          </w:tcPr>
          <w:p w14:paraId="3A9798F6"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 Women, 2019</w:t>
            </w:r>
          </w:p>
        </w:tc>
        <w:tc>
          <w:tcPr>
            <w:tcW w:w="0" w:type="auto"/>
            <w:tcBorders>
              <w:top w:val="single" w:sz="4" w:space="0" w:color="000000"/>
              <w:left w:val="single" w:sz="4" w:space="0" w:color="000000"/>
              <w:bottom w:val="single" w:sz="4" w:space="0" w:color="000000"/>
              <w:right w:val="single" w:sz="4" w:space="0" w:color="000000"/>
            </w:tcBorders>
            <w:hideMark/>
          </w:tcPr>
          <w:p w14:paraId="64D3DFC5"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The term gender gap refers to any disparity between the status or position of men and women and society. It is often used to refer to the difference between the income of men and women, i.e. "gender wage gap." However, there may be gender gaps in many areas, such as the four pillars that the World Economic Forum uses to calculate its Gender Gap Index, namely: economic participation and opportunity, access to education, health and life expectancy, political empowerment.</w:t>
            </w:r>
          </w:p>
        </w:tc>
      </w:tr>
      <w:tr w:rsidR="00DD3961" w14:paraId="21F77E59"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CB74903"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Gender</w:t>
            </w:r>
          </w:p>
        </w:tc>
        <w:tc>
          <w:tcPr>
            <w:tcW w:w="0" w:type="auto"/>
            <w:tcBorders>
              <w:top w:val="single" w:sz="4" w:space="0" w:color="000000"/>
              <w:left w:val="single" w:sz="4" w:space="0" w:color="000000"/>
              <w:bottom w:val="single" w:sz="4" w:space="0" w:color="000000"/>
              <w:right w:val="single" w:sz="4" w:space="0" w:color="000000"/>
            </w:tcBorders>
            <w:hideMark/>
          </w:tcPr>
          <w:p w14:paraId="5E78C5DD"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2014</w:t>
            </w:r>
          </w:p>
        </w:tc>
        <w:tc>
          <w:tcPr>
            <w:tcW w:w="0" w:type="auto"/>
            <w:tcBorders>
              <w:top w:val="single" w:sz="4" w:space="0" w:color="000000"/>
              <w:left w:val="single" w:sz="4" w:space="0" w:color="000000"/>
              <w:bottom w:val="single" w:sz="4" w:space="0" w:color="000000"/>
              <w:right w:val="single" w:sz="4" w:space="0" w:color="000000"/>
            </w:tcBorders>
            <w:hideMark/>
          </w:tcPr>
          <w:p w14:paraId="5A4B9DF4" w14:textId="77777777" w:rsidR="00DD3961" w:rsidRDefault="00DD3961">
            <w:pPr>
              <w:spacing w:after="24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Refers to the social attributes and opportunities linked to being male or female and the relationships between women and men and girls and boys, as well as to the relationships between women and men. These attributes, opportunities and relationships are socially constructed and learned through socialization processes. </w:t>
            </w:r>
          </w:p>
        </w:tc>
      </w:tr>
      <w:tr w:rsidR="00DD3961" w14:paraId="60CA0F9E"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EB6D49B"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Gender Equality</w:t>
            </w:r>
          </w:p>
        </w:tc>
        <w:tc>
          <w:tcPr>
            <w:tcW w:w="0" w:type="auto"/>
            <w:tcBorders>
              <w:top w:val="single" w:sz="4" w:space="0" w:color="000000"/>
              <w:left w:val="single" w:sz="4" w:space="0" w:color="000000"/>
              <w:bottom w:val="single" w:sz="4" w:space="0" w:color="000000"/>
              <w:right w:val="single" w:sz="4" w:space="0" w:color="000000"/>
            </w:tcBorders>
            <w:hideMark/>
          </w:tcPr>
          <w:p w14:paraId="37070198"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2014.</w:t>
            </w:r>
          </w:p>
        </w:tc>
        <w:tc>
          <w:tcPr>
            <w:tcW w:w="0" w:type="auto"/>
            <w:tcBorders>
              <w:top w:val="single" w:sz="4" w:space="0" w:color="000000"/>
              <w:left w:val="single" w:sz="4" w:space="0" w:color="000000"/>
              <w:bottom w:val="single" w:sz="4" w:space="0" w:color="000000"/>
              <w:right w:val="single" w:sz="4" w:space="0" w:color="000000"/>
            </w:tcBorders>
            <w:hideMark/>
          </w:tcPr>
          <w:p w14:paraId="22D50268" w14:textId="77777777" w:rsidR="00DD3961" w:rsidRDefault="00DD3961">
            <w:pPr>
              <w:spacing w:after="24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Refers to the equal rights, responsibilities and opportunities of women and men and girls and boys. Equality does not mean that women and men become the same, but that the rights, responsibilities and opportunities of women and men will not depend on the sex with which they were born. Gender equality assumes that the interests, needs and priorities of both women and men will be </w:t>
            </w:r>
            <w:proofErr w:type="gramStart"/>
            <w:r>
              <w:rPr>
                <w:rFonts w:ascii="Calibri" w:eastAsia="Times New Roman" w:hAnsi="Calibri" w:cs="Calibri"/>
                <w:color w:val="000000"/>
                <w:sz w:val="20"/>
                <w:szCs w:val="20"/>
                <w:lang w:eastAsia="en-CA"/>
              </w:rPr>
              <w:t>taken into account</w:t>
            </w:r>
            <w:proofErr w:type="gramEnd"/>
            <w:r>
              <w:rPr>
                <w:rFonts w:ascii="Calibri" w:eastAsia="Times New Roman" w:hAnsi="Calibri" w:cs="Calibri"/>
                <w:color w:val="000000"/>
                <w:sz w:val="20"/>
                <w:szCs w:val="20"/>
                <w:lang w:eastAsia="en-CA"/>
              </w:rPr>
              <w:t>, recognizing the diversity of different groups of women and men.</w:t>
            </w:r>
          </w:p>
        </w:tc>
      </w:tr>
      <w:tr w:rsidR="00DD3961" w14:paraId="6B7B5576"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2C6174F"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Empowerment of women</w:t>
            </w:r>
          </w:p>
        </w:tc>
        <w:tc>
          <w:tcPr>
            <w:tcW w:w="0" w:type="auto"/>
            <w:tcBorders>
              <w:top w:val="single" w:sz="4" w:space="0" w:color="000000"/>
              <w:left w:val="single" w:sz="4" w:space="0" w:color="000000"/>
              <w:bottom w:val="single" w:sz="4" w:space="0" w:color="000000"/>
              <w:right w:val="single" w:sz="4" w:space="0" w:color="000000"/>
            </w:tcBorders>
            <w:hideMark/>
          </w:tcPr>
          <w:p w14:paraId="447915A7"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2014</w:t>
            </w:r>
          </w:p>
        </w:tc>
        <w:tc>
          <w:tcPr>
            <w:tcW w:w="0" w:type="auto"/>
            <w:tcBorders>
              <w:top w:val="single" w:sz="4" w:space="0" w:color="000000"/>
              <w:left w:val="single" w:sz="4" w:space="0" w:color="000000"/>
              <w:bottom w:val="single" w:sz="4" w:space="0" w:color="000000"/>
              <w:right w:val="single" w:sz="4" w:space="0" w:color="000000"/>
            </w:tcBorders>
            <w:hideMark/>
          </w:tcPr>
          <w:p w14:paraId="74408D58" w14:textId="77777777" w:rsidR="00DD3961" w:rsidRDefault="00DD3961">
            <w:pPr>
              <w:spacing w:after="24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The empowerment of women has five components: the sense of self-esteem of women; your right to exercise and determine options; your right to have access to opportunities and resources; his right to power to control his own life, both inside and outside the home; and its ability to determine the direction of social change to create a more just economic and social order at national and international level. </w:t>
            </w:r>
          </w:p>
        </w:tc>
      </w:tr>
      <w:tr w:rsidR="00DD3961" w14:paraId="01F1E757"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758A90AA"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Sexual division of labour </w:t>
            </w:r>
          </w:p>
        </w:tc>
        <w:tc>
          <w:tcPr>
            <w:tcW w:w="0" w:type="auto"/>
            <w:tcBorders>
              <w:top w:val="single" w:sz="4" w:space="0" w:color="000000"/>
              <w:left w:val="single" w:sz="4" w:space="0" w:color="000000"/>
              <w:bottom w:val="single" w:sz="4" w:space="0" w:color="000000"/>
              <w:right w:val="single" w:sz="4" w:space="0" w:color="000000"/>
            </w:tcBorders>
            <w:hideMark/>
          </w:tcPr>
          <w:p w14:paraId="5FDCD340"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AECID, 2015</w:t>
            </w:r>
          </w:p>
        </w:tc>
        <w:tc>
          <w:tcPr>
            <w:tcW w:w="0" w:type="auto"/>
            <w:tcBorders>
              <w:top w:val="single" w:sz="4" w:space="0" w:color="000000"/>
              <w:left w:val="single" w:sz="4" w:space="0" w:color="000000"/>
              <w:bottom w:val="single" w:sz="4" w:space="0" w:color="000000"/>
              <w:right w:val="single" w:sz="4" w:space="0" w:color="000000"/>
            </w:tcBorders>
            <w:hideMark/>
          </w:tcPr>
          <w:p w14:paraId="35A12414"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353535"/>
                <w:sz w:val="20"/>
                <w:szCs w:val="20"/>
                <w:lang w:eastAsia="en-CA"/>
              </w:rPr>
              <w:t xml:space="preserve">Traditionally, in all cultures and regions of the world, different activities and responsibilities have been assigned to women and men, giving them differentiated social, economic, political and cultural hierarchy and value. Within this division of labour, on the one hand, men have been considered providers, since they perform paid and socially recognized productive work outside the home. Women have been assigned reproductive work, including in addition to motherhood, the health care work of family members, and the work that is done to maintain order within the household, and both from the private sphere. </w:t>
            </w:r>
          </w:p>
        </w:tc>
      </w:tr>
      <w:tr w:rsidR="00DD3961" w14:paraId="4B2E6FA0"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844A070"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Gender Roles </w:t>
            </w:r>
          </w:p>
        </w:tc>
        <w:tc>
          <w:tcPr>
            <w:tcW w:w="0" w:type="auto"/>
            <w:tcBorders>
              <w:top w:val="single" w:sz="4" w:space="0" w:color="000000"/>
              <w:left w:val="single" w:sz="4" w:space="0" w:color="000000"/>
              <w:bottom w:val="single" w:sz="4" w:space="0" w:color="000000"/>
              <w:right w:val="single" w:sz="4" w:space="0" w:color="000000"/>
            </w:tcBorders>
            <w:hideMark/>
          </w:tcPr>
          <w:p w14:paraId="3BCBCC7F"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Andalusian Institute of women, s / f. </w:t>
            </w:r>
          </w:p>
        </w:tc>
        <w:tc>
          <w:tcPr>
            <w:tcW w:w="0" w:type="auto"/>
            <w:tcBorders>
              <w:top w:val="single" w:sz="4" w:space="0" w:color="000000"/>
              <w:left w:val="single" w:sz="4" w:space="0" w:color="000000"/>
              <w:bottom w:val="single" w:sz="4" w:space="0" w:color="000000"/>
              <w:right w:val="single" w:sz="4" w:space="0" w:color="000000"/>
            </w:tcBorders>
            <w:hideMark/>
          </w:tcPr>
          <w:p w14:paraId="1470EC85"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They are patterns of social behaviours that are assigned to men and women and that structure the relations between both, attributing to each other different jobs, values ​​and responsibilities.</w:t>
            </w:r>
          </w:p>
        </w:tc>
      </w:tr>
      <w:tr w:rsidR="00DD3961" w14:paraId="7953C83F"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F7D27A3"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gender bias </w:t>
            </w:r>
          </w:p>
        </w:tc>
        <w:tc>
          <w:tcPr>
            <w:tcW w:w="0" w:type="auto"/>
            <w:tcBorders>
              <w:top w:val="single" w:sz="4" w:space="0" w:color="000000"/>
              <w:left w:val="single" w:sz="4" w:space="0" w:color="000000"/>
              <w:bottom w:val="single" w:sz="4" w:space="0" w:color="000000"/>
              <w:right w:val="single" w:sz="4" w:space="0" w:color="000000"/>
            </w:tcBorders>
            <w:hideMark/>
          </w:tcPr>
          <w:p w14:paraId="0F66823E"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Sanchez, 2015. </w:t>
            </w:r>
          </w:p>
        </w:tc>
        <w:tc>
          <w:tcPr>
            <w:tcW w:w="0" w:type="auto"/>
            <w:tcBorders>
              <w:top w:val="single" w:sz="4" w:space="0" w:color="000000"/>
              <w:left w:val="single" w:sz="4" w:space="0" w:color="000000"/>
              <w:bottom w:val="single" w:sz="4" w:space="0" w:color="000000"/>
              <w:right w:val="single" w:sz="4" w:space="0" w:color="000000"/>
            </w:tcBorders>
            <w:hideMark/>
          </w:tcPr>
          <w:p w14:paraId="6A9F38D2"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It is related to the distortion, limitation, modification or deterioration of a person's potential development due to factors that generate and cultivate the distribution and hierarchy of categorized traits and roles for men and women, in attention to a hypothetical natural law associated with the sexes, being really motivated by constructs, beliefs and structures of environmental and social type.</w:t>
            </w:r>
          </w:p>
        </w:tc>
      </w:tr>
      <w:tr w:rsidR="00DD3961" w14:paraId="2C47ACF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E3611AC"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Decision making</w:t>
            </w:r>
          </w:p>
        </w:tc>
        <w:tc>
          <w:tcPr>
            <w:tcW w:w="0" w:type="auto"/>
            <w:tcBorders>
              <w:top w:val="single" w:sz="4" w:space="0" w:color="000000"/>
              <w:left w:val="single" w:sz="4" w:space="0" w:color="000000"/>
              <w:bottom w:val="single" w:sz="4" w:space="0" w:color="000000"/>
              <w:right w:val="single" w:sz="4" w:space="0" w:color="000000"/>
            </w:tcBorders>
            <w:hideMark/>
          </w:tcPr>
          <w:p w14:paraId="1B50C5D5"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UNIFEM, 2007</w:t>
            </w:r>
          </w:p>
        </w:tc>
        <w:tc>
          <w:tcPr>
            <w:tcW w:w="0" w:type="auto"/>
            <w:tcBorders>
              <w:top w:val="single" w:sz="4" w:space="0" w:color="000000"/>
              <w:left w:val="single" w:sz="4" w:space="0" w:color="000000"/>
              <w:bottom w:val="single" w:sz="4" w:space="0" w:color="000000"/>
              <w:right w:val="single" w:sz="4" w:space="0" w:color="000000"/>
            </w:tcBorders>
            <w:hideMark/>
          </w:tcPr>
          <w:p w14:paraId="04C247C3"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This refers to the representation and participation of women at the highest levels of power structures at national and international levels. In this case, initiatives and programs aimed at increasing women's participation have been hampered by </w:t>
            </w:r>
            <w:proofErr w:type="gramStart"/>
            <w:r>
              <w:rPr>
                <w:rFonts w:ascii="Calibri" w:eastAsia="Times New Roman" w:hAnsi="Calibri" w:cs="Calibri"/>
                <w:color w:val="000000"/>
                <w:sz w:val="20"/>
                <w:szCs w:val="20"/>
                <w:lang w:eastAsia="en-CA"/>
              </w:rPr>
              <w:t>a number of</w:t>
            </w:r>
            <w:proofErr w:type="gramEnd"/>
            <w:r>
              <w:rPr>
                <w:rFonts w:ascii="Calibri" w:eastAsia="Times New Roman" w:hAnsi="Calibri" w:cs="Calibri"/>
                <w:color w:val="000000"/>
                <w:sz w:val="20"/>
                <w:szCs w:val="20"/>
                <w:lang w:eastAsia="en-CA"/>
              </w:rPr>
              <w:t xml:space="preserve"> factors, including the lack of human and financial resources for training and promotion in political careers, and the responsibility of the elected officials in relation to the promotion of equality between women and men and the participation of women in public life.</w:t>
            </w:r>
          </w:p>
        </w:tc>
      </w:tr>
      <w:tr w:rsidR="00DD3961" w14:paraId="398E760E"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54C3C1F2"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Gender-based violence</w:t>
            </w:r>
          </w:p>
        </w:tc>
        <w:tc>
          <w:tcPr>
            <w:tcW w:w="0" w:type="auto"/>
            <w:tcBorders>
              <w:top w:val="single" w:sz="4" w:space="0" w:color="000000"/>
              <w:left w:val="single" w:sz="4" w:space="0" w:color="000000"/>
              <w:bottom w:val="single" w:sz="4" w:space="0" w:color="000000"/>
              <w:right w:val="single" w:sz="4" w:space="0" w:color="000000"/>
            </w:tcBorders>
            <w:hideMark/>
          </w:tcPr>
          <w:p w14:paraId="74F4338F"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2014</w:t>
            </w:r>
          </w:p>
        </w:tc>
        <w:tc>
          <w:tcPr>
            <w:tcW w:w="0" w:type="auto"/>
            <w:tcBorders>
              <w:top w:val="single" w:sz="4" w:space="0" w:color="000000"/>
              <w:left w:val="single" w:sz="4" w:space="0" w:color="000000"/>
              <w:bottom w:val="single" w:sz="4" w:space="0" w:color="000000"/>
              <w:right w:val="single" w:sz="4" w:space="0" w:color="000000"/>
            </w:tcBorders>
            <w:hideMark/>
          </w:tcPr>
          <w:p w14:paraId="576ADC33"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sz w:val="20"/>
                <w:szCs w:val="20"/>
                <w:lang w:eastAsia="en-CA"/>
              </w:rPr>
              <w:t>Violence against women is a form of discrimination that severely inhibits women's ability to enjoy rights and freedoms on an equal footing with men. [...] Violence against women, which undermines or annuls the enjoyment by women of their human rights and fundamental freedoms under international law or specific human rights conventions, constitutes discrimination, as understood in article 1 of the Convention on the Elimination of All Forms of Discrimination against Women.</w:t>
            </w:r>
          </w:p>
        </w:tc>
      </w:tr>
      <w:tr w:rsidR="00DD3961" w14:paraId="3F28350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953D5A6"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Masculinity</w:t>
            </w:r>
          </w:p>
        </w:tc>
        <w:tc>
          <w:tcPr>
            <w:tcW w:w="0" w:type="auto"/>
            <w:tcBorders>
              <w:top w:val="single" w:sz="4" w:space="0" w:color="000000"/>
              <w:left w:val="single" w:sz="4" w:space="0" w:color="000000"/>
              <w:bottom w:val="single" w:sz="4" w:space="0" w:color="000000"/>
              <w:right w:val="single" w:sz="4" w:space="0" w:color="000000"/>
            </w:tcBorders>
            <w:hideMark/>
          </w:tcPr>
          <w:p w14:paraId="1037FDA0"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AECID, 2015</w:t>
            </w:r>
          </w:p>
        </w:tc>
        <w:tc>
          <w:tcPr>
            <w:tcW w:w="0" w:type="auto"/>
            <w:tcBorders>
              <w:top w:val="single" w:sz="4" w:space="0" w:color="000000"/>
              <w:left w:val="single" w:sz="4" w:space="0" w:color="000000"/>
              <w:bottom w:val="single" w:sz="4" w:space="0" w:color="000000"/>
              <w:right w:val="single" w:sz="4" w:space="0" w:color="000000"/>
            </w:tcBorders>
            <w:hideMark/>
          </w:tcPr>
          <w:p w14:paraId="4F099F11" w14:textId="77777777" w:rsidR="00DD3961" w:rsidRDefault="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Incorporates the analysis of the identities of men and the power relations between them and women. It assumes the complexity of gender relations in which individual men are both privileged by the collective power of men as a gender, and in turn, oppressed by the masculine identity assigned to them and by the vulnerabilities that both power and economic and social conditions impose them.</w:t>
            </w:r>
          </w:p>
        </w:tc>
      </w:tr>
    </w:tbl>
    <w:p w14:paraId="04863B70" w14:textId="77777777" w:rsidR="00DD3961" w:rsidRDefault="00DD3961" w:rsidP="00DD3961">
      <w:pPr>
        <w:pStyle w:val="Heading1"/>
        <w:rPr>
          <w:rFonts w:asciiTheme="minorHAnsi" w:hAnsiTheme="minorHAnsi"/>
          <w:sz w:val="24"/>
          <w:szCs w:val="24"/>
        </w:rPr>
      </w:pPr>
      <w:bookmarkStart w:id="51" w:name="_Toc8644440"/>
      <w:bookmarkStart w:id="52" w:name="_Toc8644542"/>
      <w:r>
        <w:rPr>
          <w:rFonts w:asciiTheme="minorHAnsi" w:hAnsiTheme="minorHAnsi"/>
          <w:sz w:val="24"/>
          <w:szCs w:val="24"/>
        </w:rPr>
        <w:t>13. Bibliography</w:t>
      </w:r>
      <w:bookmarkEnd w:id="51"/>
      <w:bookmarkEnd w:id="52"/>
      <w:r>
        <w:rPr>
          <w:rFonts w:asciiTheme="minorHAnsi" w:hAnsiTheme="minorHAnsi"/>
          <w:sz w:val="24"/>
          <w:szCs w:val="24"/>
        </w:rPr>
        <w:t xml:space="preserve"> </w:t>
      </w:r>
    </w:p>
    <w:p w14:paraId="2CA2E386"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Aguilar Lorena (Comp.). "Unveiling gender: basic conceptual elements to understand equity". Series towards equity. IUCN 1999.</w:t>
      </w:r>
    </w:p>
    <w:p w14:paraId="7FFF491E"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7FA50200"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CEPALSTAT (2016). </w:t>
      </w:r>
      <w:r>
        <w:rPr>
          <w:rFonts w:ascii="Calibri" w:eastAsia="Times New Roman" w:hAnsi="Calibri" w:cs="Calibri"/>
          <w:i/>
          <w:iCs/>
          <w:color w:val="000000"/>
          <w:sz w:val="20"/>
          <w:szCs w:val="20"/>
          <w:lang w:eastAsia="en-CA"/>
        </w:rPr>
        <w:t xml:space="preserve">Women in decision making. </w:t>
      </w:r>
    </w:p>
    <w:p w14:paraId="784AAECF"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http://interwp.cepal.org/sisgen/ConsultaIntegrada.asp?idIndicador=178&amp;idioma=e</w:t>
      </w:r>
    </w:p>
    <w:p w14:paraId="6421424B"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6AF92444"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r>
        <w:rPr>
          <w:rFonts w:ascii="Calibri" w:eastAsia="Times New Roman" w:hAnsi="Calibri" w:cs="Calibri"/>
          <w:color w:val="000000"/>
          <w:sz w:val="20"/>
          <w:szCs w:val="20"/>
          <w:lang w:eastAsia="en-CA"/>
        </w:rPr>
        <w:t xml:space="preserve">DANE (2013). </w:t>
      </w:r>
      <w:r>
        <w:rPr>
          <w:rFonts w:ascii="Calibri" w:eastAsia="Times New Roman" w:hAnsi="Calibri" w:cs="Calibri"/>
          <w:i/>
          <w:iCs/>
          <w:color w:val="000000"/>
          <w:sz w:val="20"/>
          <w:szCs w:val="20"/>
          <w:lang w:eastAsia="en-CA"/>
        </w:rPr>
        <w:t>Survey Use of Time.</w:t>
      </w:r>
      <w:r>
        <w:rPr>
          <w:rFonts w:ascii="Calibri" w:eastAsia="Times New Roman" w:hAnsi="Calibri" w:cs="Calibri"/>
          <w:color w:val="000000"/>
          <w:sz w:val="20"/>
          <w:szCs w:val="20"/>
          <w:lang w:eastAsia="en-CA"/>
        </w:rPr>
        <w:t xml:space="preserve"> </w:t>
      </w:r>
      <w:proofErr w:type="spellStart"/>
      <w:r w:rsidRPr="00DD3961">
        <w:rPr>
          <w:rFonts w:ascii="Calibri" w:eastAsia="Times New Roman" w:hAnsi="Calibri" w:cs="Calibri"/>
          <w:color w:val="000000"/>
          <w:sz w:val="20"/>
          <w:szCs w:val="20"/>
          <w:lang w:val="es-PA" w:eastAsia="en-CA"/>
        </w:rPr>
        <w:t>Bogota</w:t>
      </w:r>
      <w:proofErr w:type="spellEnd"/>
      <w:r w:rsidRPr="00DD3961">
        <w:rPr>
          <w:rFonts w:ascii="Calibri" w:eastAsia="Times New Roman" w:hAnsi="Calibri" w:cs="Calibri"/>
          <w:color w:val="000000"/>
          <w:sz w:val="20"/>
          <w:szCs w:val="20"/>
          <w:lang w:val="es-PA" w:eastAsia="en-CA"/>
        </w:rPr>
        <w:t xml:space="preserve"> Colombia. </w:t>
      </w:r>
      <w:hyperlink r:id="rId9" w:history="1">
        <w:r w:rsidRPr="00DD3961">
          <w:rPr>
            <w:rStyle w:val="Hyperlink"/>
            <w:rFonts w:ascii="Calibri" w:hAnsi="Calibri" w:cs="Calibri"/>
            <w:sz w:val="20"/>
            <w:szCs w:val="20"/>
            <w:lang w:val="es-PA"/>
          </w:rPr>
          <w:t>https://www.dane.gov.co/index.php/estadisticas-por-tema/pobreza-y-condiciones-de-vida/encuesta-nacional-del-uso-del-tiempo-enut</w:t>
        </w:r>
      </w:hyperlink>
    </w:p>
    <w:p w14:paraId="72F1298E"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p>
    <w:p w14:paraId="28D4194F" w14:textId="77777777" w:rsidR="00DD3961" w:rsidRDefault="00DD3961" w:rsidP="00DD3961">
      <w:pPr>
        <w:spacing w:after="0" w:line="240" w:lineRule="auto"/>
        <w:rPr>
          <w:rFonts w:ascii="Times New Roman" w:eastAsia="Times New Roman" w:hAnsi="Times New Roman" w:cs="Times New Roman"/>
          <w:sz w:val="20"/>
          <w:szCs w:val="20"/>
          <w:lang w:eastAsia="en-CA"/>
        </w:rPr>
      </w:pPr>
      <w:proofErr w:type="spellStart"/>
      <w:r>
        <w:rPr>
          <w:rFonts w:ascii="Calibri" w:eastAsia="Times New Roman" w:hAnsi="Calibri" w:cs="Calibri"/>
          <w:color w:val="000000"/>
          <w:sz w:val="20"/>
          <w:szCs w:val="20"/>
          <w:lang w:eastAsia="en-CA"/>
        </w:rPr>
        <w:t>Defensoría</w:t>
      </w:r>
      <w:proofErr w:type="spellEnd"/>
      <w:r>
        <w:rPr>
          <w:rFonts w:ascii="Calibri" w:eastAsia="Times New Roman" w:hAnsi="Calibri" w:cs="Calibri"/>
          <w:color w:val="000000"/>
          <w:sz w:val="20"/>
          <w:szCs w:val="20"/>
          <w:lang w:eastAsia="en-CA"/>
        </w:rPr>
        <w:t xml:space="preserve"> del Pueblo (2016</w:t>
      </w:r>
      <w:proofErr w:type="gramStart"/>
      <w:r>
        <w:rPr>
          <w:rFonts w:ascii="Calibri" w:eastAsia="Times New Roman" w:hAnsi="Calibri" w:cs="Calibri"/>
          <w:color w:val="000000"/>
          <w:sz w:val="20"/>
          <w:szCs w:val="20"/>
          <w:lang w:eastAsia="en-CA"/>
        </w:rPr>
        <w:t>) )</w:t>
      </w:r>
      <w:proofErr w:type="gramEnd"/>
      <w:r>
        <w:rPr>
          <w:rFonts w:ascii="Calibri" w:eastAsia="Times New Roman" w:hAnsi="Calibri" w:cs="Calibri"/>
          <w:color w:val="000000"/>
          <w:sz w:val="20"/>
          <w:szCs w:val="20"/>
          <w:lang w:eastAsia="en-CA"/>
        </w:rPr>
        <w:t>. Institutional Policy on Gender Equality 2016-2019. Ombudsman's Office Ecuador.</w:t>
      </w:r>
    </w:p>
    <w:p w14:paraId="6BDBB4C1"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66B22DC6"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r>
        <w:rPr>
          <w:rFonts w:ascii="Calibri" w:eastAsia="Times New Roman" w:hAnsi="Calibri" w:cs="Calibri"/>
          <w:color w:val="000000"/>
          <w:sz w:val="20"/>
          <w:szCs w:val="20"/>
          <w:lang w:eastAsia="en-CA"/>
        </w:rPr>
        <w:t xml:space="preserve">ENDS (2010). </w:t>
      </w:r>
      <w:r>
        <w:rPr>
          <w:rFonts w:ascii="Calibri" w:eastAsia="Times New Roman" w:hAnsi="Calibri" w:cs="Calibri"/>
          <w:i/>
          <w:iCs/>
          <w:color w:val="000000"/>
          <w:sz w:val="20"/>
          <w:szCs w:val="20"/>
          <w:lang w:eastAsia="en-CA"/>
        </w:rPr>
        <w:t xml:space="preserve">National Survey of Demography and Health. </w:t>
      </w:r>
      <w:proofErr w:type="spellStart"/>
      <w:proofErr w:type="gramStart"/>
      <w:r w:rsidRPr="00DD3961">
        <w:rPr>
          <w:rFonts w:ascii="Calibri" w:eastAsia="Times New Roman" w:hAnsi="Calibri" w:cs="Calibri"/>
          <w:color w:val="000000"/>
          <w:sz w:val="20"/>
          <w:szCs w:val="20"/>
          <w:lang w:val="es-PA" w:eastAsia="en-CA"/>
        </w:rPr>
        <w:t>Bogotá,</w:t>
      </w:r>
      <w:r w:rsidRPr="00DD3961">
        <w:rPr>
          <w:rFonts w:ascii="Calibri" w:eastAsia="Times New Roman" w:hAnsi="Calibri" w:cs="Calibri"/>
          <w:i/>
          <w:iCs/>
          <w:color w:val="000000"/>
          <w:sz w:val="20"/>
          <w:szCs w:val="20"/>
          <w:lang w:val="es-PA" w:eastAsia="en-CA"/>
        </w:rPr>
        <w:t>Colombia</w:t>
      </w:r>
      <w:proofErr w:type="spellEnd"/>
      <w:proofErr w:type="gramEnd"/>
      <w:r w:rsidRPr="00DD3961">
        <w:rPr>
          <w:rFonts w:ascii="Calibri" w:eastAsia="Times New Roman" w:hAnsi="Calibri" w:cs="Calibri"/>
          <w:i/>
          <w:iCs/>
          <w:color w:val="000000"/>
          <w:sz w:val="20"/>
          <w:szCs w:val="20"/>
          <w:lang w:val="es-PA" w:eastAsia="en-CA"/>
        </w:rPr>
        <w:t xml:space="preserve">. </w:t>
      </w:r>
      <w:hyperlink r:id="rId10" w:history="1">
        <w:r w:rsidRPr="00DD3961">
          <w:rPr>
            <w:rStyle w:val="Hyperlink"/>
            <w:rFonts w:ascii="Calibri" w:hAnsi="Calibri" w:cs="Calibri"/>
            <w:i/>
            <w:iCs/>
            <w:sz w:val="20"/>
            <w:szCs w:val="20"/>
            <w:lang w:val="es-PA"/>
          </w:rPr>
          <w:t>https://dhsprogram.com/pubs/pdf/fr246/fr246.pdf</w:t>
        </w:r>
      </w:hyperlink>
    </w:p>
    <w:p w14:paraId="5C92E0DE"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p>
    <w:p w14:paraId="09C9799F"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353535"/>
          <w:sz w:val="20"/>
          <w:szCs w:val="20"/>
          <w:lang w:eastAsia="en-CA"/>
        </w:rPr>
        <w:t>Water Resources Forum. (2013) "Community management of water for human consumption and sanitation in Ecuador: diagnosis and proposals. Ecuador.</w:t>
      </w:r>
    </w:p>
    <w:p w14:paraId="114B7B7E"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17CD4321"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GEF (2018). Updated results architecture for GEF-7 (GEF / C.54 / 11 / Rev.02). </w:t>
      </w:r>
    </w:p>
    <w:p w14:paraId="3894FEDD"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11" w:history="1">
        <w:r w:rsidR="00DD3961">
          <w:rPr>
            <w:rStyle w:val="Hyperlink"/>
            <w:rFonts w:ascii="Calibri" w:hAnsi="Calibri" w:cs="Calibri"/>
            <w:sz w:val="20"/>
            <w:szCs w:val="20"/>
          </w:rPr>
          <w:t>http://www.thegef.org/sites/default/files/council-meeting-documents/EN_GEF.C.54.11.Rev_.02_Results.pdf</w:t>
        </w:r>
      </w:hyperlink>
    </w:p>
    <w:p w14:paraId="47022EC4"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39C8DDCF"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GEF. (2018). Guidance to advance gender equity in GEF projects and Programs (GEF / C.54 / Inf.05).  </w:t>
      </w:r>
    </w:p>
    <w:p w14:paraId="69F22869"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12" w:history="1">
        <w:r w:rsidR="00DD3961">
          <w:rPr>
            <w:rStyle w:val="Hyperlink"/>
            <w:rFonts w:ascii="Calibri" w:hAnsi="Calibri" w:cs="Calibri"/>
            <w:sz w:val="20"/>
            <w:szCs w:val="20"/>
          </w:rPr>
          <w:t>https://www.thegef.org/council-meeting-documents/guidance-advance-gender-equality-gef-projects-and-programs</w:t>
        </w:r>
      </w:hyperlink>
    </w:p>
    <w:p w14:paraId="0A0538A9"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055B702F" w14:textId="77777777" w:rsidR="00DD3961" w:rsidRDefault="00DD3961" w:rsidP="00DD3961">
      <w:pPr>
        <w:spacing w:after="0" w:line="240" w:lineRule="auto"/>
        <w:rPr>
          <w:rFonts w:ascii="Calibri" w:eastAsia="Times New Roman" w:hAnsi="Calibri" w:cs="Calibri"/>
          <w:color w:val="000000"/>
          <w:sz w:val="20"/>
          <w:szCs w:val="20"/>
          <w:lang w:eastAsia="en-CA"/>
        </w:rPr>
      </w:pPr>
      <w:r>
        <w:rPr>
          <w:rFonts w:ascii="Calibri" w:eastAsia="Times New Roman" w:hAnsi="Calibri" w:cs="Calibri"/>
          <w:color w:val="000000"/>
          <w:sz w:val="20"/>
          <w:szCs w:val="20"/>
          <w:lang w:eastAsia="en-CA"/>
        </w:rPr>
        <w:t>GEF (2017). Policy on Gender Equality. GEF / C.53 / 04. 53rd GEF Council Meeting held on November 28-30, 2017, in Washington, DC. Washington, DC: GEF.  </w:t>
      </w:r>
    </w:p>
    <w:p w14:paraId="1FEB64D0" w14:textId="77777777" w:rsidR="00DD3961" w:rsidRDefault="00A23F23" w:rsidP="00DD3961">
      <w:pPr>
        <w:spacing w:after="0" w:line="240" w:lineRule="auto"/>
        <w:rPr>
          <w:rFonts w:ascii="Calibri" w:eastAsia="Times New Roman" w:hAnsi="Calibri" w:cs="Calibri"/>
          <w:color w:val="000000"/>
          <w:sz w:val="20"/>
          <w:szCs w:val="20"/>
          <w:lang w:eastAsia="en-CA"/>
        </w:rPr>
      </w:pPr>
      <w:hyperlink r:id="rId13" w:history="1">
        <w:r w:rsidR="00DD3961">
          <w:rPr>
            <w:rStyle w:val="Hyperlink"/>
            <w:rFonts w:ascii="Calibri" w:hAnsi="Calibri" w:cs="Calibri"/>
            <w:sz w:val="20"/>
            <w:szCs w:val="20"/>
          </w:rPr>
          <w:t>http://www.thegef.org/sites/default/files/council-meeting-documents/EN_GEF.C.53.04_Gender_Policy.pdf</w:t>
        </w:r>
      </w:hyperlink>
    </w:p>
    <w:p w14:paraId="248739B5"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72BDACCB"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GEF (2014). Action plan on gender equality. GEF / C.47 / 09 </w:t>
      </w:r>
    </w:p>
    <w:p w14:paraId="719AD1FE"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14" w:history="1">
        <w:r w:rsidR="00DD3961">
          <w:rPr>
            <w:rStyle w:val="Hyperlink"/>
            <w:rFonts w:ascii="Calibri" w:hAnsi="Calibri" w:cs="Calibri"/>
            <w:sz w:val="20"/>
            <w:szCs w:val="20"/>
          </w:rPr>
          <w:t>https://www.thegef.org/sites/default/files/council-meeting-documents/2015001319SPAspa005_Gender_Equality_0_1.pdf</w:t>
        </w:r>
      </w:hyperlink>
    </w:p>
    <w:p w14:paraId="5B76ECFD"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7C6E9F84"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AECID Guide for the Mainstreaming of the Gender Approach (2015) Spanish Agency for Cooperation International for Development (AECID) </w:t>
      </w:r>
    </w:p>
    <w:p w14:paraId="3AEA8397"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15" w:history="1">
        <w:r w:rsidR="00DD3961">
          <w:rPr>
            <w:rStyle w:val="Hyperlink"/>
            <w:rFonts w:ascii="Calibri" w:hAnsi="Calibri" w:cs="Calibri"/>
            <w:color w:val="000000"/>
            <w:sz w:val="20"/>
            <w:szCs w:val="20"/>
          </w:rPr>
          <w:t>www.aecid.es</w:t>
        </w:r>
      </w:hyperlink>
    </w:p>
    <w:p w14:paraId="51C6FC6A"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59CE5010" w14:textId="77777777" w:rsidR="00DD3961" w:rsidRDefault="00DD3961" w:rsidP="00DD3961">
      <w:pPr>
        <w:spacing w:after="0" w:line="240" w:lineRule="auto"/>
        <w:rPr>
          <w:rFonts w:ascii="Times New Roman" w:eastAsia="Times New Roman" w:hAnsi="Times New Roman" w:cs="Times New Roman"/>
          <w:sz w:val="20"/>
          <w:szCs w:val="20"/>
          <w:lang w:eastAsia="en-CA"/>
        </w:rPr>
      </w:pPr>
      <w:proofErr w:type="gramStart"/>
      <w:r>
        <w:rPr>
          <w:rFonts w:ascii="Calibri" w:eastAsia="Times New Roman" w:hAnsi="Calibri" w:cs="Calibri"/>
          <w:color w:val="000000"/>
          <w:sz w:val="20"/>
          <w:szCs w:val="20"/>
          <w:lang w:eastAsia="en-CA"/>
        </w:rPr>
        <w:t>Organic Law on Water Resources,</w:t>
      </w:r>
      <w:proofErr w:type="gramEnd"/>
      <w:r>
        <w:rPr>
          <w:rFonts w:ascii="Calibri" w:eastAsia="Times New Roman" w:hAnsi="Calibri" w:cs="Calibri"/>
          <w:color w:val="000000"/>
          <w:sz w:val="20"/>
          <w:szCs w:val="20"/>
          <w:lang w:eastAsia="en-CA"/>
        </w:rPr>
        <w:t xml:space="preserve"> Uses and Use of Water (2014)</w:t>
      </w:r>
    </w:p>
    <w:p w14:paraId="5AE262AF"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39F0AA7E" w14:textId="77777777" w:rsidR="00DD3961" w:rsidRDefault="00DD3961" w:rsidP="00DD3961">
      <w:pPr>
        <w:spacing w:after="0" w:line="240" w:lineRule="auto"/>
        <w:rPr>
          <w:rFonts w:ascii="Times New Roman" w:eastAsia="Times New Roman" w:hAnsi="Times New Roman" w:cs="Times New Roman"/>
          <w:sz w:val="20"/>
          <w:szCs w:val="20"/>
          <w:lang w:eastAsia="en-CA"/>
        </w:rPr>
      </w:pPr>
      <w:r w:rsidRPr="00DD3961">
        <w:rPr>
          <w:rFonts w:ascii="Calibri" w:eastAsia="Times New Roman" w:hAnsi="Calibri" w:cs="Calibri"/>
          <w:color w:val="000000"/>
          <w:sz w:val="20"/>
          <w:szCs w:val="20"/>
          <w:lang w:val="es-PA" w:eastAsia="en-CA"/>
        </w:rPr>
        <w:t xml:space="preserve">Hofstede, R., Vásconez, S. and </w:t>
      </w:r>
      <w:proofErr w:type="spellStart"/>
      <w:r w:rsidRPr="00DD3961">
        <w:rPr>
          <w:rFonts w:ascii="Calibri" w:eastAsia="Times New Roman" w:hAnsi="Calibri" w:cs="Calibri"/>
          <w:color w:val="000000"/>
          <w:sz w:val="20"/>
          <w:szCs w:val="20"/>
          <w:lang w:val="es-PA" w:eastAsia="en-CA"/>
        </w:rPr>
        <w:t>Cerra</w:t>
      </w:r>
      <w:proofErr w:type="spellEnd"/>
      <w:r w:rsidRPr="00DD3961">
        <w:rPr>
          <w:rFonts w:ascii="Calibri" w:eastAsia="Times New Roman" w:hAnsi="Calibri" w:cs="Calibri"/>
          <w:color w:val="000000"/>
          <w:sz w:val="20"/>
          <w:szCs w:val="20"/>
          <w:lang w:val="es-PA" w:eastAsia="en-CA"/>
        </w:rPr>
        <w:t xml:space="preserve">, M. (Ed.) </w:t>
      </w:r>
      <w:r>
        <w:rPr>
          <w:rFonts w:ascii="Calibri" w:eastAsia="Times New Roman" w:hAnsi="Calibri" w:cs="Calibri"/>
          <w:color w:val="000000"/>
          <w:sz w:val="20"/>
          <w:szCs w:val="20"/>
          <w:lang w:eastAsia="en-CA"/>
        </w:rPr>
        <w:t xml:space="preserve">(2015). Live in the </w:t>
      </w:r>
      <w:proofErr w:type="spellStart"/>
      <w:r>
        <w:rPr>
          <w:rFonts w:ascii="Calibri" w:eastAsia="Times New Roman" w:hAnsi="Calibri" w:cs="Calibri"/>
          <w:color w:val="000000"/>
          <w:sz w:val="20"/>
          <w:szCs w:val="20"/>
          <w:lang w:eastAsia="en-CA"/>
        </w:rPr>
        <w:t>páramos</w:t>
      </w:r>
      <w:proofErr w:type="spellEnd"/>
      <w:r>
        <w:rPr>
          <w:rFonts w:ascii="Calibri" w:eastAsia="Times New Roman" w:hAnsi="Calibri" w:cs="Calibri"/>
          <w:color w:val="000000"/>
          <w:sz w:val="20"/>
          <w:szCs w:val="20"/>
          <w:lang w:eastAsia="en-CA"/>
        </w:rPr>
        <w:t xml:space="preserve">. Perceptions, vulnerabilities, capacities and governance in the face of climate change. IUCN. Quito, Ecuador. </w:t>
      </w:r>
    </w:p>
    <w:p w14:paraId="60C97239"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2B2FD55E"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r>
        <w:rPr>
          <w:rFonts w:ascii="Calibri" w:eastAsia="Times New Roman" w:hAnsi="Calibri" w:cs="Calibri"/>
          <w:color w:val="000000"/>
          <w:sz w:val="20"/>
          <w:szCs w:val="20"/>
          <w:lang w:eastAsia="en-CA"/>
        </w:rPr>
        <w:t xml:space="preserve">INEC (2011) </w:t>
      </w:r>
      <w:r>
        <w:rPr>
          <w:rFonts w:ascii="Calibri" w:eastAsia="Times New Roman" w:hAnsi="Calibri" w:cs="Calibri"/>
          <w:i/>
          <w:iCs/>
          <w:color w:val="000000"/>
          <w:sz w:val="20"/>
          <w:szCs w:val="20"/>
          <w:lang w:eastAsia="en-CA"/>
        </w:rPr>
        <w:t>National Survey on Family Relations and Gender Violence against women.</w:t>
      </w:r>
      <w:r>
        <w:rPr>
          <w:rFonts w:ascii="Calibri" w:eastAsia="Times New Roman" w:hAnsi="Calibri" w:cs="Calibri"/>
          <w:color w:val="000000"/>
          <w:sz w:val="20"/>
          <w:szCs w:val="20"/>
          <w:lang w:eastAsia="en-CA"/>
        </w:rPr>
        <w:t xml:space="preserve"> </w:t>
      </w:r>
      <w:r w:rsidRPr="00DD3961">
        <w:rPr>
          <w:rFonts w:ascii="Calibri" w:eastAsia="Times New Roman" w:hAnsi="Calibri" w:cs="Calibri"/>
          <w:color w:val="000000"/>
          <w:sz w:val="20"/>
          <w:szCs w:val="20"/>
          <w:lang w:val="es-PA" w:eastAsia="en-CA"/>
        </w:rPr>
        <w:t xml:space="preserve">Quito, Ecuador. </w:t>
      </w:r>
      <w:hyperlink r:id="rId16" w:history="1">
        <w:r w:rsidRPr="00DD3961">
          <w:rPr>
            <w:rStyle w:val="Hyperlink"/>
            <w:rFonts w:ascii="Calibri" w:hAnsi="Calibri" w:cs="Calibri"/>
            <w:sz w:val="20"/>
            <w:szCs w:val="20"/>
            <w:lang w:val="es-PA"/>
          </w:rPr>
          <w:t>http://anda.inec.gob.ec/anda/index.php/catalog/94</w:t>
        </w:r>
      </w:hyperlink>
    </w:p>
    <w:p w14:paraId="651936C3"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p>
    <w:p w14:paraId="1356B8D9"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r>
        <w:rPr>
          <w:rFonts w:ascii="Calibri" w:eastAsia="Times New Roman" w:hAnsi="Calibri" w:cs="Calibri"/>
          <w:color w:val="000000"/>
          <w:sz w:val="20"/>
          <w:szCs w:val="20"/>
          <w:lang w:eastAsia="en-CA"/>
        </w:rPr>
        <w:t xml:space="preserve">INEC (2012) </w:t>
      </w:r>
      <w:r>
        <w:rPr>
          <w:rFonts w:ascii="Calibri" w:eastAsia="Times New Roman" w:hAnsi="Calibri" w:cs="Calibri"/>
          <w:i/>
          <w:iCs/>
          <w:color w:val="000000"/>
          <w:sz w:val="20"/>
          <w:szCs w:val="20"/>
          <w:lang w:eastAsia="en-CA"/>
        </w:rPr>
        <w:t>Use of Time Survey.</w:t>
      </w:r>
      <w:r>
        <w:rPr>
          <w:rFonts w:ascii="Calibri" w:eastAsia="Times New Roman" w:hAnsi="Calibri" w:cs="Calibri"/>
          <w:color w:val="000000"/>
          <w:sz w:val="20"/>
          <w:szCs w:val="20"/>
          <w:lang w:eastAsia="en-CA"/>
        </w:rPr>
        <w:t xml:space="preserve"> </w:t>
      </w:r>
      <w:r w:rsidRPr="00DD3961">
        <w:rPr>
          <w:rFonts w:ascii="Calibri" w:eastAsia="Times New Roman" w:hAnsi="Calibri" w:cs="Calibri"/>
          <w:color w:val="000000"/>
          <w:sz w:val="20"/>
          <w:szCs w:val="20"/>
          <w:lang w:val="es-PA" w:eastAsia="en-CA"/>
        </w:rPr>
        <w:t>Quito, Ecuador.  </w:t>
      </w:r>
      <w:hyperlink r:id="rId17" w:history="1">
        <w:r w:rsidRPr="00DD3961">
          <w:rPr>
            <w:rStyle w:val="Hyperlink"/>
            <w:rFonts w:ascii="Calibri" w:hAnsi="Calibri" w:cs="Calibri"/>
            <w:sz w:val="20"/>
            <w:szCs w:val="20"/>
            <w:lang w:val="es-PA"/>
          </w:rPr>
          <w:t>http://www.ecuadorencifras.gob.ec/uso-del-tiempo-2/</w:t>
        </w:r>
      </w:hyperlink>
    </w:p>
    <w:p w14:paraId="00FE26CA" w14:textId="77777777" w:rsidR="00DD3961" w:rsidRPr="00DD3961" w:rsidRDefault="00DD3961" w:rsidP="00DD3961">
      <w:pPr>
        <w:spacing w:after="0" w:line="240" w:lineRule="auto"/>
        <w:rPr>
          <w:rFonts w:ascii="Times New Roman" w:eastAsia="Times New Roman" w:hAnsi="Times New Roman" w:cs="Times New Roman"/>
          <w:sz w:val="20"/>
          <w:szCs w:val="20"/>
          <w:lang w:val="es-PA" w:eastAsia="en-CA"/>
        </w:rPr>
      </w:pPr>
    </w:p>
    <w:p w14:paraId="3122D193"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Melo, C. (2017). ABC of the project cycle with a gender focus. UNDP</w:t>
      </w:r>
    </w:p>
    <w:p w14:paraId="1FCEC51B"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5A6C4D79"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PDOT </w:t>
      </w:r>
      <w:proofErr w:type="spellStart"/>
      <w:r>
        <w:rPr>
          <w:rFonts w:ascii="Calibri" w:eastAsia="Times New Roman" w:hAnsi="Calibri" w:cs="Calibri"/>
          <w:color w:val="000000"/>
          <w:sz w:val="20"/>
          <w:szCs w:val="20"/>
          <w:lang w:eastAsia="en-CA"/>
        </w:rPr>
        <w:t>Mataje</w:t>
      </w:r>
      <w:proofErr w:type="spellEnd"/>
      <w:r>
        <w:rPr>
          <w:rFonts w:ascii="Calibri" w:eastAsia="Times New Roman" w:hAnsi="Calibri" w:cs="Calibri"/>
          <w:color w:val="000000"/>
          <w:sz w:val="20"/>
          <w:szCs w:val="20"/>
          <w:lang w:eastAsia="en-CA"/>
        </w:rPr>
        <w:t xml:space="preserve">. (2015). Diagnosis for the Elaboration of the Plan of Development and Territorial Ordering of the rural parish </w:t>
      </w:r>
      <w:proofErr w:type="spellStart"/>
      <w:r>
        <w:rPr>
          <w:rFonts w:ascii="Calibri" w:eastAsia="Times New Roman" w:hAnsi="Calibri" w:cs="Calibri"/>
          <w:color w:val="000000"/>
          <w:sz w:val="20"/>
          <w:szCs w:val="20"/>
          <w:lang w:eastAsia="en-CA"/>
        </w:rPr>
        <w:t>Mataje</w:t>
      </w:r>
      <w:proofErr w:type="spellEnd"/>
      <w:r>
        <w:rPr>
          <w:rFonts w:ascii="Calibri" w:eastAsia="Times New Roman" w:hAnsi="Calibri" w:cs="Calibri"/>
          <w:color w:val="000000"/>
          <w:sz w:val="20"/>
          <w:szCs w:val="20"/>
          <w:lang w:eastAsia="en-CA"/>
        </w:rPr>
        <w:t>.  </w:t>
      </w:r>
    </w:p>
    <w:p w14:paraId="07E5070B"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784BF853"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Provincial irrigation and drainage plan of Imbabura 2017-2037 (2017). Prefecture of Imbabura.</w:t>
      </w:r>
    </w:p>
    <w:p w14:paraId="1582855C"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4B42E1FA"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Aid Report of the binational workshop for the preparation of the Project Document (PPG). September 21, 2018. Ecuador.</w:t>
      </w:r>
    </w:p>
    <w:p w14:paraId="5FE41F91"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4D9BDF28"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(2014). UNDP Gender Equality Strategy 2014-2017. USA.</w:t>
      </w:r>
    </w:p>
    <w:p w14:paraId="6FCCE76E"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18" w:history="1">
        <w:r w:rsidR="00DD3961">
          <w:rPr>
            <w:rStyle w:val="Hyperlink"/>
            <w:rFonts w:ascii="Calibri" w:hAnsi="Calibri" w:cs="Calibri"/>
            <w:sz w:val="20"/>
            <w:szCs w:val="20"/>
          </w:rPr>
          <w:t>http://www.cl.undp.org/content/chile/en/home/library/womens_empowerment/strategy-of-equality-of-general-pnud-2014-2017.html</w:t>
        </w:r>
      </w:hyperlink>
    </w:p>
    <w:p w14:paraId="22D7685D"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3CCB85F0"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(2018). UNDP gender equality strategy for 2018-2021. USES.</w:t>
      </w:r>
    </w:p>
    <w:p w14:paraId="66DE0CF8"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19" w:history="1">
        <w:r w:rsidR="00DD3961">
          <w:rPr>
            <w:rStyle w:val="Hyperlink"/>
            <w:rFonts w:ascii="Calibri" w:hAnsi="Calibri" w:cs="Calibri"/>
            <w:sz w:val="20"/>
            <w:szCs w:val="20"/>
          </w:rPr>
          <w:t>http://undocs.org/es/DP/2017/38</w:t>
        </w:r>
      </w:hyperlink>
    </w:p>
    <w:p w14:paraId="6FA47C8E"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144B3419" w14:textId="77777777" w:rsidR="00DD3961" w:rsidRDefault="00DD3961" w:rsidP="00DD3961">
      <w:pPr>
        <w:spacing w:after="0" w:line="240" w:lineRule="auto"/>
        <w:rPr>
          <w:rFonts w:ascii="Times New Roman" w:eastAsia="Times New Roman" w:hAnsi="Times New Roman" w:cs="Times New Roman"/>
          <w:sz w:val="20"/>
          <w:szCs w:val="20"/>
          <w:lang w:eastAsia="en-CA"/>
        </w:rPr>
      </w:pPr>
      <w:r w:rsidRPr="00DD3961">
        <w:rPr>
          <w:rFonts w:ascii="Calibri" w:eastAsia="Times New Roman" w:hAnsi="Calibri" w:cs="Calibri"/>
          <w:color w:val="000000"/>
          <w:sz w:val="20"/>
          <w:szCs w:val="20"/>
          <w:lang w:val="es-PA" w:eastAsia="en-CA"/>
        </w:rPr>
        <w:t xml:space="preserve">Rodríguez, S., Jaramillo, P., and Robles, B., (2018). </w:t>
      </w:r>
      <w:r>
        <w:rPr>
          <w:rFonts w:ascii="Calibri" w:eastAsia="Times New Roman" w:hAnsi="Calibri" w:cs="Calibri"/>
          <w:color w:val="000000"/>
          <w:sz w:val="20"/>
          <w:szCs w:val="20"/>
          <w:lang w:eastAsia="en-CA"/>
        </w:rPr>
        <w:t xml:space="preserve">"Diagnosis of gender dynamics and gaps, intergenerational and rights-based participation". Ministry of Environment of Ecuador, Conservation International, </w:t>
      </w:r>
      <w:proofErr w:type="spellStart"/>
      <w:r>
        <w:rPr>
          <w:rFonts w:ascii="Calibri" w:eastAsia="Times New Roman" w:hAnsi="Calibri" w:cs="Calibri"/>
          <w:color w:val="000000"/>
          <w:sz w:val="20"/>
          <w:szCs w:val="20"/>
          <w:lang w:eastAsia="en-CA"/>
        </w:rPr>
        <w:t>Hivos</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Fao</w:t>
      </w:r>
      <w:proofErr w:type="spellEnd"/>
      <w:r>
        <w:rPr>
          <w:rFonts w:ascii="Calibri" w:eastAsia="Times New Roman" w:hAnsi="Calibri" w:cs="Calibri"/>
          <w:color w:val="000000"/>
          <w:sz w:val="20"/>
          <w:szCs w:val="20"/>
          <w:lang w:eastAsia="en-CA"/>
        </w:rPr>
        <w:t xml:space="preserve"> and GEF. Quito, Ecuador.</w:t>
      </w:r>
    </w:p>
    <w:p w14:paraId="241A54C3"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213280BA"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Sánchez, David (2015). Beginning and end of the gender bias. In Conference of Equality and Gender held at the University of Malaga, Spain.   </w:t>
      </w:r>
    </w:p>
    <w:p w14:paraId="298128C7"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5B061F86"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 xml:space="preserve">National Secretary of the Water (Sf) Instructive for conformation and legalization of Boards </w:t>
      </w:r>
      <w:proofErr w:type="spellStart"/>
      <w:r>
        <w:rPr>
          <w:rFonts w:ascii="Calibri" w:eastAsia="Times New Roman" w:hAnsi="Calibri" w:cs="Calibri"/>
          <w:color w:val="000000"/>
          <w:sz w:val="20"/>
          <w:szCs w:val="20"/>
          <w:lang w:eastAsia="en-CA"/>
        </w:rPr>
        <w:t>Administradoras</w:t>
      </w:r>
      <w:proofErr w:type="spellEnd"/>
      <w:r>
        <w:rPr>
          <w:rFonts w:ascii="Calibri" w:eastAsia="Times New Roman" w:hAnsi="Calibri" w:cs="Calibri"/>
          <w:color w:val="000000"/>
          <w:sz w:val="20"/>
          <w:szCs w:val="20"/>
          <w:lang w:eastAsia="en-CA"/>
        </w:rPr>
        <w:t xml:space="preserve"> of Drinkable Water and sanitation; Administrative Boards of Potable </w:t>
      </w:r>
      <w:proofErr w:type="spellStart"/>
      <w:r>
        <w:rPr>
          <w:rFonts w:ascii="Calibri" w:eastAsia="Times New Roman" w:hAnsi="Calibri" w:cs="Calibri"/>
          <w:color w:val="000000"/>
          <w:sz w:val="20"/>
          <w:szCs w:val="20"/>
          <w:lang w:eastAsia="en-CA"/>
        </w:rPr>
        <w:t>waterand</w:t>
      </w:r>
      <w:proofErr w:type="spellEnd"/>
      <w:r>
        <w:rPr>
          <w:rFonts w:ascii="Calibri" w:eastAsia="Times New Roman" w:hAnsi="Calibri" w:cs="Calibri"/>
          <w:color w:val="000000"/>
          <w:sz w:val="20"/>
          <w:szCs w:val="20"/>
          <w:lang w:eastAsia="en-CA"/>
        </w:rPr>
        <w:t xml:space="preserve"> regional sanitation; and Second and third grade boards; and Instructions for conformation and legalization and of irrigation and / or drainage boards. Ecuador.</w:t>
      </w:r>
    </w:p>
    <w:p w14:paraId="14F45197"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7BEAD5A2"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UNDP. (2013) Gender Mainstreaming made easy: Handbook for program staff. Country Office for UNDP Somalia.</w:t>
      </w:r>
    </w:p>
    <w:p w14:paraId="7B12A880" w14:textId="77777777" w:rsidR="00DD3961" w:rsidRDefault="00A23F23" w:rsidP="00DD3961">
      <w:pPr>
        <w:spacing w:after="0" w:line="240" w:lineRule="auto"/>
        <w:rPr>
          <w:rFonts w:ascii="Times New Roman" w:eastAsia="Times New Roman" w:hAnsi="Times New Roman" w:cs="Times New Roman"/>
          <w:sz w:val="20"/>
          <w:szCs w:val="20"/>
          <w:lang w:eastAsia="en-CA"/>
        </w:rPr>
      </w:pPr>
      <w:hyperlink r:id="rId20" w:history="1">
        <w:r w:rsidR="00DD3961">
          <w:rPr>
            <w:rStyle w:val="Hyperlink"/>
            <w:rFonts w:ascii="Calibri" w:hAnsi="Calibri" w:cs="Calibri"/>
            <w:sz w:val="20"/>
            <w:szCs w:val="20"/>
          </w:rPr>
          <w:t>http://www.undp.org/content/dam/somalia/docs/Project_Documents/Womens_Empowerment/Gender%20Mainstreaming%20Made%20Easy_Handbook%20for%20Programme%20Staff1.pdf</w:t>
        </w:r>
      </w:hyperlink>
    </w:p>
    <w:p w14:paraId="15D7320F"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7BA83127"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353535"/>
          <w:sz w:val="20"/>
          <w:szCs w:val="20"/>
          <w:lang w:eastAsia="en-CA"/>
        </w:rPr>
        <w:t xml:space="preserve">UNDP. (2016). How to conduct Gender Analysis, a guidance </w:t>
      </w:r>
      <w:proofErr w:type="gramStart"/>
      <w:r>
        <w:rPr>
          <w:rFonts w:ascii="Calibri" w:eastAsia="Times New Roman" w:hAnsi="Calibri" w:cs="Calibri"/>
          <w:color w:val="353535"/>
          <w:sz w:val="20"/>
          <w:szCs w:val="20"/>
          <w:lang w:eastAsia="en-CA"/>
        </w:rPr>
        <w:t>note</w:t>
      </w:r>
      <w:proofErr w:type="gramEnd"/>
      <w:r>
        <w:rPr>
          <w:rFonts w:ascii="Calibri" w:eastAsia="Times New Roman" w:hAnsi="Calibri" w:cs="Calibri"/>
          <w:color w:val="353535"/>
          <w:sz w:val="20"/>
          <w:szCs w:val="20"/>
          <w:lang w:eastAsia="en-CA"/>
        </w:rPr>
        <w:t xml:space="preserve"> for UNDP Staff. Bureau of Policy and Program Support, Gender team. USES. </w:t>
      </w:r>
      <w:hyperlink r:id="rId21" w:history="1">
        <w:r>
          <w:rPr>
            <w:rStyle w:val="Hyperlink"/>
            <w:rFonts w:ascii="Calibri" w:hAnsi="Calibri" w:cs="Calibri"/>
            <w:sz w:val="20"/>
            <w:szCs w:val="20"/>
          </w:rPr>
          <w:t>https://info.undp.org/sites/bpps/SES_Toolkit/SES%20Document%20Library/Uploaded%20October%202016/UNDP%20Guidance%20Note%20how%20to%20conduct%20a%20gender%20analysis.pdf</w:t>
        </w:r>
      </w:hyperlink>
    </w:p>
    <w:p w14:paraId="7E729ED9" w14:textId="77777777" w:rsidR="00DD3961" w:rsidRDefault="00DD3961" w:rsidP="00DD3961">
      <w:pPr>
        <w:spacing w:after="0" w:line="240" w:lineRule="auto"/>
        <w:rPr>
          <w:rFonts w:ascii="Times New Roman" w:eastAsia="Times New Roman" w:hAnsi="Times New Roman" w:cs="Times New Roman"/>
          <w:sz w:val="20"/>
          <w:szCs w:val="20"/>
          <w:lang w:eastAsia="en-CA"/>
        </w:rPr>
      </w:pPr>
    </w:p>
    <w:p w14:paraId="0E44EA70" w14:textId="77777777" w:rsidR="00DD3961" w:rsidRDefault="00DD3961" w:rsidP="00DD3961">
      <w:pPr>
        <w:spacing w:after="0" w:line="240" w:lineRule="auto"/>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 Women. Training Center Glossary of Gender Equality.</w:t>
      </w:r>
    </w:p>
    <w:p w14:paraId="04E28B0E" w14:textId="77777777" w:rsidR="00DD3961" w:rsidRDefault="00A23F23" w:rsidP="00DD3961">
      <w:pPr>
        <w:spacing w:after="0" w:line="240" w:lineRule="auto"/>
        <w:jc w:val="both"/>
        <w:rPr>
          <w:rFonts w:ascii="Times New Roman" w:eastAsia="Times New Roman" w:hAnsi="Times New Roman" w:cs="Times New Roman"/>
          <w:sz w:val="24"/>
          <w:szCs w:val="24"/>
          <w:lang w:eastAsia="en-CA"/>
        </w:rPr>
      </w:pPr>
      <w:hyperlink r:id="rId22" w:history="1">
        <w:r w:rsidR="00DD3961">
          <w:rPr>
            <w:rStyle w:val="Hyperlink"/>
            <w:rFonts w:ascii="Calibri" w:hAnsi="Calibri" w:cs="Calibri"/>
          </w:rPr>
          <w:t>https://trainingcentre.unwomen.org/mod/glossary/view.php?id=150&amp;mode=letter&amp;hook=M&amp;sortkey=&amp;sortorder=asc</w:t>
        </w:r>
      </w:hyperlink>
    </w:p>
    <w:p w14:paraId="01FD4CB1"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6D73C30B" w14:textId="77777777" w:rsidR="00DD3961" w:rsidRDefault="00DD3961" w:rsidP="00DD3961">
      <w:pPr>
        <w:spacing w:after="0" w:line="240" w:lineRule="auto"/>
        <w:jc w:val="both"/>
        <w:rPr>
          <w:rFonts w:ascii="Times New Roman" w:eastAsia="Times New Roman" w:hAnsi="Times New Roman" w:cs="Times New Roman"/>
          <w:sz w:val="20"/>
          <w:szCs w:val="20"/>
          <w:lang w:eastAsia="en-CA"/>
        </w:rPr>
      </w:pPr>
      <w:r>
        <w:rPr>
          <w:rFonts w:ascii="Calibri" w:eastAsia="Times New Roman" w:hAnsi="Calibri" w:cs="Calibri"/>
          <w:color w:val="000000"/>
          <w:sz w:val="20"/>
          <w:szCs w:val="20"/>
          <w:lang w:eastAsia="en-CA"/>
        </w:rPr>
        <w:t>UNIFEM. (2007). Glossary of terms. Mexico.</w:t>
      </w:r>
    </w:p>
    <w:p w14:paraId="0D0E654D" w14:textId="77777777" w:rsidR="00DD3961" w:rsidRDefault="00DD3961" w:rsidP="00DD3961"/>
    <w:p w14:paraId="7C50FF87" w14:textId="77777777" w:rsidR="00DD3961" w:rsidRDefault="00DD3961" w:rsidP="00DD3961">
      <w:pPr>
        <w:pStyle w:val="Heading1"/>
        <w:rPr>
          <w:rFonts w:asciiTheme="minorHAnsi" w:hAnsiTheme="minorHAnsi"/>
          <w:sz w:val="24"/>
          <w:szCs w:val="24"/>
        </w:rPr>
      </w:pPr>
      <w:bookmarkStart w:id="53" w:name="_Toc8644441"/>
      <w:bookmarkStart w:id="54" w:name="_Toc8644543"/>
      <w:r>
        <w:rPr>
          <w:rFonts w:asciiTheme="minorHAnsi" w:hAnsiTheme="minorHAnsi"/>
          <w:sz w:val="24"/>
          <w:szCs w:val="24"/>
        </w:rPr>
        <w:t>14. List of informants</w:t>
      </w:r>
      <w:bookmarkEnd w:id="53"/>
      <w:bookmarkEnd w:id="54"/>
      <w:r>
        <w:rPr>
          <w:rFonts w:asciiTheme="minorHAnsi" w:hAnsiTheme="minorHAnsi"/>
          <w:sz w:val="24"/>
          <w:szCs w:val="24"/>
        </w:rPr>
        <w:t xml:space="preserve"> </w:t>
      </w:r>
    </w:p>
    <w:p w14:paraId="4A67E5F6"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Participants of the binational consultation workshop in Ibarra - Grupo Carchi -</w:t>
      </w:r>
      <w:proofErr w:type="spellStart"/>
      <w:r>
        <w:rPr>
          <w:rFonts w:ascii="Calibri" w:eastAsia="Times New Roman" w:hAnsi="Calibri" w:cs="Calibri"/>
          <w:b/>
          <w:bCs/>
          <w:color w:val="000000"/>
          <w:sz w:val="20"/>
          <w:szCs w:val="20"/>
          <w:lang w:eastAsia="en-CA"/>
        </w:rPr>
        <w:t>Guáitara</w:t>
      </w:r>
      <w:proofErr w:type="spellEnd"/>
    </w:p>
    <w:tbl>
      <w:tblPr>
        <w:tblW w:w="0" w:type="auto"/>
        <w:tblLook w:val="04A0" w:firstRow="1" w:lastRow="0" w:firstColumn="1" w:lastColumn="0" w:noHBand="0" w:noVBand="1"/>
      </w:tblPr>
      <w:tblGrid>
        <w:gridCol w:w="1750"/>
        <w:gridCol w:w="2033"/>
        <w:gridCol w:w="1011"/>
      </w:tblGrid>
      <w:tr w:rsidR="00DD3961" w14:paraId="2A3B608C"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0EEDFB6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b/>
                <w:bCs/>
                <w:color w:val="000000"/>
                <w:sz w:val="20"/>
                <w:szCs w:val="20"/>
                <w:lang w:eastAsia="en-CA"/>
              </w:rPr>
              <w:t>Name</w:t>
            </w:r>
          </w:p>
        </w:tc>
        <w:tc>
          <w:tcPr>
            <w:tcW w:w="0" w:type="auto"/>
            <w:tcBorders>
              <w:top w:val="single" w:sz="4" w:space="0" w:color="000000"/>
              <w:left w:val="single" w:sz="4" w:space="0" w:color="000000"/>
              <w:bottom w:val="single" w:sz="4" w:space="0" w:color="000000"/>
              <w:right w:val="single" w:sz="4" w:space="0" w:color="000000"/>
            </w:tcBorders>
            <w:hideMark/>
          </w:tcPr>
          <w:p w14:paraId="5AD1E9D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b/>
                <w:bCs/>
                <w:color w:val="000000"/>
                <w:sz w:val="20"/>
                <w:szCs w:val="20"/>
                <w:lang w:eastAsia="en-CA"/>
              </w:rPr>
              <w:t>Organization</w:t>
            </w:r>
          </w:p>
        </w:tc>
        <w:tc>
          <w:tcPr>
            <w:tcW w:w="0" w:type="auto"/>
            <w:tcBorders>
              <w:top w:val="single" w:sz="4" w:space="0" w:color="000000"/>
              <w:left w:val="single" w:sz="4" w:space="0" w:color="000000"/>
              <w:bottom w:val="single" w:sz="4" w:space="0" w:color="000000"/>
              <w:right w:val="single" w:sz="4" w:space="0" w:color="000000"/>
            </w:tcBorders>
            <w:hideMark/>
          </w:tcPr>
          <w:p w14:paraId="4203E37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b/>
                <w:bCs/>
                <w:color w:val="000000"/>
                <w:sz w:val="20"/>
                <w:szCs w:val="20"/>
                <w:lang w:eastAsia="en-CA"/>
              </w:rPr>
              <w:t>Country</w:t>
            </w:r>
          </w:p>
        </w:tc>
      </w:tr>
      <w:tr w:rsidR="00DD3961" w14:paraId="25498112"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2F3936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Amparo </w:t>
            </w:r>
            <w:proofErr w:type="spellStart"/>
            <w:r>
              <w:rPr>
                <w:rFonts w:ascii="Corbel" w:eastAsia="Times New Roman" w:hAnsi="Corbel" w:cs="Times New Roman"/>
                <w:color w:val="000000"/>
                <w:sz w:val="20"/>
                <w:szCs w:val="20"/>
                <w:lang w:eastAsia="en-CA"/>
              </w:rPr>
              <w:t>Peñafiel</w:t>
            </w:r>
            <w:proofErr w:type="spellEnd"/>
            <w:r>
              <w:rPr>
                <w:rFonts w:ascii="Corbel" w:eastAsia="Times New Roman" w:hAnsi="Corbel" w:cs="Times New Roman"/>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156BC21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GAD </w:t>
            </w:r>
            <w:proofErr w:type="spellStart"/>
            <w:r>
              <w:rPr>
                <w:rFonts w:ascii="Corbel" w:eastAsia="Times New Roman" w:hAnsi="Corbel" w:cs="Times New Roman"/>
                <w:color w:val="000000"/>
                <w:sz w:val="20"/>
                <w:szCs w:val="20"/>
                <w:lang w:eastAsia="en-CA"/>
              </w:rPr>
              <w:t>Tulcán</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6202ECF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Ecuador</w:t>
            </w:r>
          </w:p>
        </w:tc>
      </w:tr>
      <w:tr w:rsidR="00DD3961" w14:paraId="6201533B"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0FE9520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Juan Carlos </w:t>
            </w:r>
            <w:proofErr w:type="spellStart"/>
            <w:r>
              <w:rPr>
                <w:rFonts w:ascii="Corbel" w:eastAsia="Times New Roman" w:hAnsi="Corbel" w:cs="Times New Roman"/>
                <w:color w:val="000000"/>
                <w:sz w:val="20"/>
                <w:szCs w:val="20"/>
                <w:lang w:eastAsia="en-CA"/>
              </w:rPr>
              <w:t>Patiño</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04FBA84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Sur Sustainable </w:t>
            </w:r>
          </w:p>
        </w:tc>
        <w:tc>
          <w:tcPr>
            <w:tcW w:w="0" w:type="auto"/>
            <w:tcBorders>
              <w:top w:val="single" w:sz="4" w:space="0" w:color="000000"/>
              <w:left w:val="single" w:sz="4" w:space="0" w:color="000000"/>
              <w:bottom w:val="single" w:sz="4" w:space="0" w:color="000000"/>
              <w:right w:val="single" w:sz="4" w:space="0" w:color="000000"/>
            </w:tcBorders>
            <w:hideMark/>
          </w:tcPr>
          <w:p w14:paraId="4572D92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6E00015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67E2E2C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Angie Ortega</w:t>
            </w:r>
          </w:p>
        </w:tc>
        <w:tc>
          <w:tcPr>
            <w:tcW w:w="0" w:type="auto"/>
            <w:tcBorders>
              <w:top w:val="single" w:sz="4" w:space="0" w:color="000000"/>
              <w:left w:val="single" w:sz="4" w:space="0" w:color="000000"/>
              <w:bottom w:val="single" w:sz="4" w:space="0" w:color="000000"/>
              <w:right w:val="single" w:sz="4" w:space="0" w:color="000000"/>
            </w:tcBorders>
            <w:hideMark/>
          </w:tcPr>
          <w:p w14:paraId="0622350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South Sustainable</w:t>
            </w:r>
          </w:p>
        </w:tc>
        <w:tc>
          <w:tcPr>
            <w:tcW w:w="0" w:type="auto"/>
            <w:tcBorders>
              <w:top w:val="single" w:sz="4" w:space="0" w:color="000000"/>
              <w:left w:val="single" w:sz="4" w:space="0" w:color="000000"/>
              <w:bottom w:val="single" w:sz="4" w:space="0" w:color="000000"/>
              <w:right w:val="single" w:sz="4" w:space="0" w:color="000000"/>
            </w:tcBorders>
            <w:hideMark/>
          </w:tcPr>
          <w:p w14:paraId="6957F28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3422806D"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140D18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Cristian García</w:t>
            </w:r>
          </w:p>
        </w:tc>
        <w:tc>
          <w:tcPr>
            <w:tcW w:w="0" w:type="auto"/>
            <w:tcBorders>
              <w:top w:val="single" w:sz="4" w:space="0" w:color="000000"/>
              <w:left w:val="single" w:sz="4" w:space="0" w:color="000000"/>
              <w:bottom w:val="single" w:sz="4" w:space="0" w:color="000000"/>
              <w:right w:val="single" w:sz="4" w:space="0" w:color="000000"/>
            </w:tcBorders>
            <w:hideMark/>
          </w:tcPr>
          <w:p w14:paraId="7EB22CC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South Sustainable</w:t>
            </w:r>
          </w:p>
        </w:tc>
        <w:tc>
          <w:tcPr>
            <w:tcW w:w="0" w:type="auto"/>
            <w:tcBorders>
              <w:top w:val="single" w:sz="4" w:space="0" w:color="000000"/>
              <w:left w:val="single" w:sz="4" w:space="0" w:color="000000"/>
              <w:bottom w:val="single" w:sz="4" w:space="0" w:color="000000"/>
              <w:right w:val="single" w:sz="4" w:space="0" w:color="000000"/>
            </w:tcBorders>
            <w:hideMark/>
          </w:tcPr>
          <w:p w14:paraId="146CFC9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41FACEC7"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AA5941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Wilson Delgado</w:t>
            </w:r>
          </w:p>
        </w:tc>
        <w:tc>
          <w:tcPr>
            <w:tcW w:w="0" w:type="auto"/>
            <w:tcBorders>
              <w:top w:val="single" w:sz="4" w:space="0" w:color="000000"/>
              <w:left w:val="single" w:sz="4" w:space="0" w:color="000000"/>
              <w:bottom w:val="single" w:sz="4" w:space="0" w:color="000000"/>
              <w:right w:val="single" w:sz="4" w:space="0" w:color="000000"/>
            </w:tcBorders>
            <w:hideMark/>
          </w:tcPr>
          <w:p w14:paraId="2D2EFC9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South Sustainable</w:t>
            </w:r>
          </w:p>
        </w:tc>
        <w:tc>
          <w:tcPr>
            <w:tcW w:w="0" w:type="auto"/>
            <w:tcBorders>
              <w:top w:val="single" w:sz="4" w:space="0" w:color="000000"/>
              <w:left w:val="single" w:sz="4" w:space="0" w:color="000000"/>
              <w:bottom w:val="single" w:sz="4" w:space="0" w:color="000000"/>
              <w:right w:val="single" w:sz="4" w:space="0" w:color="000000"/>
            </w:tcBorders>
            <w:hideMark/>
          </w:tcPr>
          <w:p w14:paraId="7E9C01B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209DE4F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DDB878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Jose Manuel </w:t>
            </w:r>
            <w:proofErr w:type="spellStart"/>
            <w:r>
              <w:rPr>
                <w:rFonts w:ascii="Corbel" w:eastAsia="Times New Roman" w:hAnsi="Corbel" w:cs="Times New Roman"/>
                <w:color w:val="000000"/>
                <w:sz w:val="20"/>
                <w:szCs w:val="20"/>
                <w:lang w:eastAsia="en-CA"/>
              </w:rPr>
              <w:t>Riaño</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79EB1AB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South Sustainable</w:t>
            </w:r>
          </w:p>
        </w:tc>
        <w:tc>
          <w:tcPr>
            <w:tcW w:w="0" w:type="auto"/>
            <w:tcBorders>
              <w:top w:val="single" w:sz="4" w:space="0" w:color="000000"/>
              <w:left w:val="single" w:sz="4" w:space="0" w:color="000000"/>
              <w:bottom w:val="single" w:sz="4" w:space="0" w:color="000000"/>
              <w:right w:val="single" w:sz="4" w:space="0" w:color="000000"/>
            </w:tcBorders>
            <w:hideMark/>
          </w:tcPr>
          <w:p w14:paraId="4B6C9BB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2023D208"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6464ACE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Narcisa Muriel</w:t>
            </w:r>
          </w:p>
        </w:tc>
        <w:tc>
          <w:tcPr>
            <w:tcW w:w="0" w:type="auto"/>
            <w:tcBorders>
              <w:top w:val="single" w:sz="4" w:space="0" w:color="000000"/>
              <w:left w:val="single" w:sz="4" w:space="0" w:color="000000"/>
              <w:bottom w:val="single" w:sz="4" w:space="0" w:color="000000"/>
              <w:right w:val="single" w:sz="4" w:space="0" w:color="000000"/>
            </w:tcBorders>
            <w:hideMark/>
          </w:tcPr>
          <w:p w14:paraId="0549A1A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Sustainable South</w:t>
            </w:r>
          </w:p>
        </w:tc>
        <w:tc>
          <w:tcPr>
            <w:tcW w:w="0" w:type="auto"/>
            <w:tcBorders>
              <w:top w:val="single" w:sz="4" w:space="0" w:color="000000"/>
              <w:left w:val="single" w:sz="4" w:space="0" w:color="000000"/>
              <w:bottom w:val="single" w:sz="4" w:space="0" w:color="000000"/>
              <w:right w:val="single" w:sz="4" w:space="0" w:color="000000"/>
            </w:tcBorders>
            <w:hideMark/>
          </w:tcPr>
          <w:p w14:paraId="74CAB8E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14591D1D"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93D303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Elena </w:t>
            </w:r>
            <w:proofErr w:type="spellStart"/>
            <w:r>
              <w:rPr>
                <w:rFonts w:ascii="Corbel" w:eastAsia="Times New Roman" w:hAnsi="Corbel" w:cs="Times New Roman"/>
                <w:color w:val="000000"/>
                <w:sz w:val="20"/>
                <w:szCs w:val="20"/>
                <w:lang w:eastAsia="en-CA"/>
              </w:rPr>
              <w:t>Anganoy</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5B70318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Sustainable South</w:t>
            </w:r>
          </w:p>
        </w:tc>
        <w:tc>
          <w:tcPr>
            <w:tcW w:w="0" w:type="auto"/>
            <w:tcBorders>
              <w:top w:val="single" w:sz="4" w:space="0" w:color="000000"/>
              <w:left w:val="single" w:sz="4" w:space="0" w:color="000000"/>
              <w:bottom w:val="single" w:sz="4" w:space="0" w:color="000000"/>
              <w:right w:val="single" w:sz="4" w:space="0" w:color="000000"/>
            </w:tcBorders>
            <w:hideMark/>
          </w:tcPr>
          <w:p w14:paraId="7A29100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215CAA02"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9BE8E1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Liliana Duque</w:t>
            </w:r>
          </w:p>
        </w:tc>
        <w:tc>
          <w:tcPr>
            <w:tcW w:w="0" w:type="auto"/>
            <w:tcBorders>
              <w:top w:val="single" w:sz="4" w:space="0" w:color="000000"/>
              <w:left w:val="single" w:sz="4" w:space="0" w:color="000000"/>
              <w:bottom w:val="single" w:sz="4" w:space="0" w:color="000000"/>
              <w:right w:val="single" w:sz="4" w:space="0" w:color="000000"/>
            </w:tcBorders>
            <w:hideMark/>
          </w:tcPr>
          <w:p w14:paraId="5E5EF1A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Secretary of water</w:t>
            </w:r>
          </w:p>
        </w:tc>
        <w:tc>
          <w:tcPr>
            <w:tcW w:w="0" w:type="auto"/>
            <w:tcBorders>
              <w:top w:val="single" w:sz="4" w:space="0" w:color="000000"/>
              <w:left w:val="single" w:sz="4" w:space="0" w:color="000000"/>
              <w:bottom w:val="single" w:sz="4" w:space="0" w:color="000000"/>
              <w:right w:val="single" w:sz="4" w:space="0" w:color="000000"/>
            </w:tcBorders>
            <w:hideMark/>
          </w:tcPr>
          <w:p w14:paraId="7B69B54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Ecuador</w:t>
            </w:r>
          </w:p>
        </w:tc>
      </w:tr>
      <w:tr w:rsidR="00DD3961" w14:paraId="6971EE77"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7AF2C53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Rosa </w:t>
            </w:r>
            <w:proofErr w:type="spellStart"/>
            <w:r>
              <w:rPr>
                <w:rFonts w:ascii="Corbel" w:eastAsia="Times New Roman" w:hAnsi="Corbel" w:cs="Times New Roman"/>
                <w:color w:val="000000"/>
                <w:sz w:val="20"/>
                <w:szCs w:val="20"/>
                <w:lang w:eastAsia="en-CA"/>
              </w:rPr>
              <w:t>Arévalo</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4E84116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Secretary of water</w:t>
            </w:r>
          </w:p>
        </w:tc>
        <w:tc>
          <w:tcPr>
            <w:tcW w:w="0" w:type="auto"/>
            <w:tcBorders>
              <w:top w:val="single" w:sz="4" w:space="0" w:color="000000"/>
              <w:left w:val="single" w:sz="4" w:space="0" w:color="000000"/>
              <w:bottom w:val="single" w:sz="4" w:space="0" w:color="000000"/>
              <w:right w:val="single" w:sz="4" w:space="0" w:color="000000"/>
            </w:tcBorders>
            <w:hideMark/>
          </w:tcPr>
          <w:p w14:paraId="3B9BF77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Ecuador</w:t>
            </w:r>
          </w:p>
        </w:tc>
      </w:tr>
      <w:tr w:rsidR="00DD3961" w14:paraId="1307B26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52D641B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Lorena Álvarez</w:t>
            </w:r>
          </w:p>
        </w:tc>
        <w:tc>
          <w:tcPr>
            <w:tcW w:w="0" w:type="auto"/>
            <w:tcBorders>
              <w:top w:val="single" w:sz="4" w:space="0" w:color="000000"/>
              <w:left w:val="single" w:sz="4" w:space="0" w:color="000000"/>
              <w:bottom w:val="single" w:sz="4" w:space="0" w:color="000000"/>
              <w:right w:val="single" w:sz="4" w:space="0" w:color="000000"/>
            </w:tcBorders>
            <w:hideMark/>
          </w:tcPr>
          <w:p w14:paraId="00A303D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Sustainable South</w:t>
            </w:r>
          </w:p>
        </w:tc>
        <w:tc>
          <w:tcPr>
            <w:tcW w:w="0" w:type="auto"/>
            <w:tcBorders>
              <w:top w:val="single" w:sz="4" w:space="0" w:color="000000"/>
              <w:left w:val="single" w:sz="4" w:space="0" w:color="000000"/>
              <w:bottom w:val="single" w:sz="4" w:space="0" w:color="000000"/>
              <w:right w:val="single" w:sz="4" w:space="0" w:color="000000"/>
            </w:tcBorders>
            <w:hideMark/>
          </w:tcPr>
          <w:p w14:paraId="08D5F43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6197E5A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9543AD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Mónica Estacio</w:t>
            </w:r>
          </w:p>
        </w:tc>
        <w:tc>
          <w:tcPr>
            <w:tcW w:w="0" w:type="auto"/>
            <w:tcBorders>
              <w:top w:val="single" w:sz="4" w:space="0" w:color="000000"/>
              <w:left w:val="single" w:sz="4" w:space="0" w:color="000000"/>
              <w:bottom w:val="single" w:sz="4" w:space="0" w:color="000000"/>
              <w:right w:val="single" w:sz="4" w:space="0" w:color="000000"/>
            </w:tcBorders>
            <w:hideMark/>
          </w:tcPr>
          <w:p w14:paraId="1F62911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 xml:space="preserve">Sur </w:t>
            </w:r>
            <w:proofErr w:type="spellStart"/>
            <w:r>
              <w:rPr>
                <w:rFonts w:ascii="Corbel" w:eastAsia="Times New Roman" w:hAnsi="Corbel" w:cs="Times New Roman"/>
                <w:color w:val="000000"/>
                <w:sz w:val="20"/>
                <w:szCs w:val="20"/>
                <w:lang w:eastAsia="en-CA"/>
              </w:rPr>
              <w:t>Sotenible-Cumbal</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2364803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r w:rsidR="00DD3961" w14:paraId="7909A0C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B514EA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Tatiana Morales</w:t>
            </w:r>
          </w:p>
        </w:tc>
        <w:tc>
          <w:tcPr>
            <w:tcW w:w="0" w:type="auto"/>
            <w:tcBorders>
              <w:top w:val="single" w:sz="4" w:space="0" w:color="000000"/>
              <w:left w:val="single" w:sz="4" w:space="0" w:color="000000"/>
              <w:bottom w:val="single" w:sz="4" w:space="0" w:color="000000"/>
              <w:right w:val="single" w:sz="4" w:space="0" w:color="000000"/>
            </w:tcBorders>
            <w:hideMark/>
          </w:tcPr>
          <w:p w14:paraId="19435A4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South Sustainable</w:t>
            </w:r>
          </w:p>
        </w:tc>
        <w:tc>
          <w:tcPr>
            <w:tcW w:w="0" w:type="auto"/>
            <w:tcBorders>
              <w:top w:val="single" w:sz="4" w:space="0" w:color="000000"/>
              <w:left w:val="single" w:sz="4" w:space="0" w:color="000000"/>
              <w:bottom w:val="single" w:sz="4" w:space="0" w:color="000000"/>
              <w:right w:val="single" w:sz="4" w:space="0" w:color="000000"/>
            </w:tcBorders>
            <w:hideMark/>
          </w:tcPr>
          <w:p w14:paraId="47EA0D3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color w:val="000000"/>
                <w:sz w:val="20"/>
                <w:szCs w:val="20"/>
                <w:lang w:eastAsia="en-CA"/>
              </w:rPr>
              <w:t>Colombia</w:t>
            </w:r>
          </w:p>
        </w:tc>
      </w:tr>
    </w:tbl>
    <w:p w14:paraId="016A4CDD" w14:textId="77777777" w:rsidR="00DD3961" w:rsidRDefault="00DD3961" w:rsidP="00DD3961">
      <w:pPr>
        <w:spacing w:after="240" w:line="240" w:lineRule="auto"/>
        <w:jc w:val="both"/>
        <w:rPr>
          <w:rFonts w:ascii="Times New Roman" w:eastAsia="Times New Roman" w:hAnsi="Times New Roman" w:cs="Times New Roman"/>
          <w:sz w:val="24"/>
          <w:szCs w:val="24"/>
          <w:lang w:eastAsia="en-CA"/>
        </w:rPr>
      </w:pPr>
    </w:p>
    <w:p w14:paraId="661367EA"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 xml:space="preserve">Participants of the binational consultation workshop in Ibarra - Mira </w:t>
      </w:r>
      <w:proofErr w:type="spellStart"/>
      <w:r>
        <w:rPr>
          <w:rFonts w:ascii="Calibri" w:eastAsia="Times New Roman" w:hAnsi="Calibri" w:cs="Calibri"/>
          <w:b/>
          <w:bCs/>
          <w:color w:val="000000"/>
          <w:sz w:val="20"/>
          <w:szCs w:val="20"/>
          <w:lang w:eastAsia="en-CA"/>
        </w:rPr>
        <w:t>Mataje</w:t>
      </w:r>
      <w:proofErr w:type="spellEnd"/>
      <w:r>
        <w:rPr>
          <w:rFonts w:ascii="Calibri" w:eastAsia="Times New Roman" w:hAnsi="Calibri" w:cs="Calibri"/>
          <w:b/>
          <w:bCs/>
          <w:color w:val="000000"/>
          <w:sz w:val="20"/>
          <w:szCs w:val="20"/>
          <w:lang w:eastAsia="en-CA"/>
        </w:rPr>
        <w:t xml:space="preserve"> Group</w:t>
      </w:r>
    </w:p>
    <w:tbl>
      <w:tblPr>
        <w:tblW w:w="0" w:type="auto"/>
        <w:tblLook w:val="04A0" w:firstRow="1" w:lastRow="0" w:firstColumn="1" w:lastColumn="0" w:noHBand="0" w:noVBand="1"/>
      </w:tblPr>
      <w:tblGrid>
        <w:gridCol w:w="2365"/>
        <w:gridCol w:w="3386"/>
        <w:gridCol w:w="987"/>
      </w:tblGrid>
      <w:tr w:rsidR="00DD3961" w14:paraId="0C4E0A77"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1866D9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b/>
                <w:bCs/>
                <w:color w:val="000000"/>
                <w:sz w:val="20"/>
                <w:szCs w:val="20"/>
                <w:lang w:eastAsia="en-CA"/>
              </w:rPr>
              <w:t>Name</w:t>
            </w:r>
          </w:p>
        </w:tc>
        <w:tc>
          <w:tcPr>
            <w:tcW w:w="0" w:type="auto"/>
            <w:tcBorders>
              <w:top w:val="single" w:sz="4" w:space="0" w:color="000000"/>
              <w:left w:val="single" w:sz="4" w:space="0" w:color="000000"/>
              <w:bottom w:val="single" w:sz="4" w:space="0" w:color="000000"/>
              <w:right w:val="single" w:sz="4" w:space="0" w:color="000000"/>
            </w:tcBorders>
            <w:hideMark/>
          </w:tcPr>
          <w:p w14:paraId="6D2779F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b/>
                <w:bCs/>
                <w:color w:val="000000"/>
                <w:sz w:val="20"/>
                <w:szCs w:val="20"/>
                <w:lang w:eastAsia="en-CA"/>
              </w:rPr>
              <w:t>Organization</w:t>
            </w:r>
          </w:p>
        </w:tc>
        <w:tc>
          <w:tcPr>
            <w:tcW w:w="0" w:type="auto"/>
            <w:tcBorders>
              <w:top w:val="single" w:sz="4" w:space="0" w:color="000000"/>
              <w:left w:val="single" w:sz="4" w:space="0" w:color="000000"/>
              <w:bottom w:val="single" w:sz="4" w:space="0" w:color="000000"/>
              <w:right w:val="single" w:sz="4" w:space="0" w:color="000000"/>
            </w:tcBorders>
            <w:hideMark/>
          </w:tcPr>
          <w:p w14:paraId="1E7F14C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orbel" w:eastAsia="Times New Roman" w:hAnsi="Corbel" w:cs="Times New Roman"/>
                <w:b/>
                <w:bCs/>
                <w:color w:val="000000"/>
                <w:sz w:val="20"/>
                <w:szCs w:val="20"/>
                <w:lang w:eastAsia="en-CA"/>
              </w:rPr>
              <w:t>Country</w:t>
            </w:r>
          </w:p>
        </w:tc>
      </w:tr>
      <w:tr w:rsidR="00DD3961" w14:paraId="7463FED4"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8F432B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Alvaro </w:t>
            </w:r>
            <w:proofErr w:type="spellStart"/>
            <w:r>
              <w:rPr>
                <w:rFonts w:ascii="Calibri" w:eastAsia="Times New Roman" w:hAnsi="Calibri" w:cs="Calibri"/>
                <w:color w:val="000000"/>
                <w:sz w:val="20"/>
                <w:szCs w:val="20"/>
                <w:lang w:eastAsia="en-CA"/>
              </w:rPr>
              <w:t>Rosero</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Sinisterra</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3B4AC59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Community Council Bajo Mira Frontera </w:t>
            </w:r>
          </w:p>
        </w:tc>
        <w:tc>
          <w:tcPr>
            <w:tcW w:w="0" w:type="auto"/>
            <w:tcBorders>
              <w:top w:val="single" w:sz="4" w:space="0" w:color="000000"/>
              <w:left w:val="single" w:sz="4" w:space="0" w:color="000000"/>
              <w:bottom w:val="single" w:sz="4" w:space="0" w:color="000000"/>
              <w:right w:val="single" w:sz="4" w:space="0" w:color="000000"/>
            </w:tcBorders>
            <w:hideMark/>
          </w:tcPr>
          <w:p w14:paraId="3E8AF84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22BFA3CF"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B3403F3"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Lidoro</w:t>
            </w:r>
            <w:proofErr w:type="spellEnd"/>
            <w:r>
              <w:rPr>
                <w:rFonts w:ascii="Calibri" w:eastAsia="Times New Roman" w:hAnsi="Calibri" w:cs="Calibri"/>
                <w:color w:val="000000"/>
                <w:sz w:val="20"/>
                <w:szCs w:val="20"/>
                <w:lang w:eastAsia="en-CA"/>
              </w:rPr>
              <w:t xml:space="preserve"> Hurtado </w:t>
            </w:r>
            <w:proofErr w:type="spellStart"/>
            <w:r>
              <w:rPr>
                <w:rFonts w:ascii="Calibri" w:eastAsia="Times New Roman" w:hAnsi="Calibri" w:cs="Calibri"/>
                <w:color w:val="000000"/>
                <w:sz w:val="20"/>
                <w:szCs w:val="20"/>
                <w:lang w:eastAsia="en-CA"/>
              </w:rPr>
              <w:t>Quiñones</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558861B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Community Council Bajo Mira Frontera </w:t>
            </w:r>
          </w:p>
        </w:tc>
        <w:tc>
          <w:tcPr>
            <w:tcW w:w="0" w:type="auto"/>
            <w:tcBorders>
              <w:top w:val="single" w:sz="4" w:space="0" w:color="000000"/>
              <w:left w:val="single" w:sz="4" w:space="0" w:color="000000"/>
              <w:bottom w:val="single" w:sz="4" w:space="0" w:color="000000"/>
              <w:right w:val="single" w:sz="4" w:space="0" w:color="000000"/>
            </w:tcBorders>
            <w:hideMark/>
          </w:tcPr>
          <w:p w14:paraId="6C19543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6130ABF8"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CFC051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Daniel Pay</w:t>
            </w:r>
          </w:p>
        </w:tc>
        <w:tc>
          <w:tcPr>
            <w:tcW w:w="0" w:type="auto"/>
            <w:tcBorders>
              <w:top w:val="single" w:sz="4" w:space="0" w:color="000000"/>
              <w:left w:val="single" w:sz="4" w:space="0" w:color="000000"/>
              <w:bottom w:val="single" w:sz="4" w:space="0" w:color="000000"/>
              <w:right w:val="single" w:sz="4" w:space="0" w:color="000000"/>
            </w:tcBorders>
            <w:hideMark/>
          </w:tcPr>
          <w:p w14:paraId="5B5CAC8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Awa </w:t>
            </w:r>
            <w:proofErr w:type="spellStart"/>
            <w:r>
              <w:rPr>
                <w:rFonts w:ascii="Calibri" w:eastAsia="Times New Roman" w:hAnsi="Calibri" w:cs="Calibri"/>
                <w:color w:val="000000"/>
                <w:sz w:val="20"/>
                <w:szCs w:val="20"/>
                <w:lang w:eastAsia="en-CA"/>
              </w:rPr>
              <w:t>Altropic</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0D53C17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3094699B"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342317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Fernando </w:t>
            </w:r>
            <w:proofErr w:type="spellStart"/>
            <w:r>
              <w:rPr>
                <w:rFonts w:ascii="Calibri" w:eastAsia="Times New Roman" w:hAnsi="Calibri" w:cs="Calibri"/>
                <w:color w:val="000000"/>
                <w:sz w:val="20"/>
                <w:szCs w:val="20"/>
                <w:lang w:eastAsia="en-CA"/>
              </w:rPr>
              <w:t>Ibujes</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3D70A36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HYVOS</w:t>
            </w:r>
          </w:p>
        </w:tc>
        <w:tc>
          <w:tcPr>
            <w:tcW w:w="0" w:type="auto"/>
            <w:tcBorders>
              <w:top w:val="single" w:sz="4" w:space="0" w:color="000000"/>
              <w:left w:val="single" w:sz="4" w:space="0" w:color="000000"/>
              <w:bottom w:val="single" w:sz="4" w:space="0" w:color="000000"/>
              <w:right w:val="single" w:sz="4" w:space="0" w:color="000000"/>
            </w:tcBorders>
            <w:hideMark/>
          </w:tcPr>
          <w:p w14:paraId="2539AC5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4785D718"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8A4326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Roberto Arends</w:t>
            </w:r>
          </w:p>
        </w:tc>
        <w:tc>
          <w:tcPr>
            <w:tcW w:w="0" w:type="auto"/>
            <w:tcBorders>
              <w:top w:val="single" w:sz="4" w:space="0" w:color="000000"/>
              <w:left w:val="single" w:sz="4" w:space="0" w:color="000000"/>
              <w:bottom w:val="single" w:sz="4" w:space="0" w:color="000000"/>
              <w:right w:val="single" w:sz="4" w:space="0" w:color="000000"/>
            </w:tcBorders>
            <w:hideMark/>
          </w:tcPr>
          <w:p w14:paraId="5E2E841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MAE</w:t>
            </w:r>
          </w:p>
        </w:tc>
        <w:tc>
          <w:tcPr>
            <w:tcW w:w="0" w:type="auto"/>
            <w:tcBorders>
              <w:top w:val="single" w:sz="4" w:space="0" w:color="000000"/>
              <w:left w:val="single" w:sz="4" w:space="0" w:color="000000"/>
              <w:bottom w:val="single" w:sz="4" w:space="0" w:color="000000"/>
              <w:right w:val="single" w:sz="4" w:space="0" w:color="000000"/>
            </w:tcBorders>
            <w:hideMark/>
          </w:tcPr>
          <w:p w14:paraId="398F3F8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4288CC72"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7499898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Jaime </w:t>
            </w:r>
            <w:proofErr w:type="spellStart"/>
            <w:r>
              <w:rPr>
                <w:rFonts w:ascii="Calibri" w:eastAsia="Times New Roman" w:hAnsi="Calibri" w:cs="Calibri"/>
                <w:color w:val="000000"/>
                <w:sz w:val="20"/>
                <w:szCs w:val="20"/>
                <w:lang w:eastAsia="en-CA"/>
              </w:rPr>
              <w:t>Nastacuas</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413D3F9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UNIPA</w:t>
            </w:r>
          </w:p>
        </w:tc>
        <w:tc>
          <w:tcPr>
            <w:tcW w:w="0" w:type="auto"/>
            <w:tcBorders>
              <w:top w:val="single" w:sz="4" w:space="0" w:color="000000"/>
              <w:left w:val="single" w:sz="4" w:space="0" w:color="000000"/>
              <w:bottom w:val="single" w:sz="4" w:space="0" w:color="000000"/>
              <w:right w:val="single" w:sz="4" w:space="0" w:color="000000"/>
            </w:tcBorders>
            <w:hideMark/>
          </w:tcPr>
          <w:p w14:paraId="65BDEF0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2669714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517FB8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Germán Ortiz</w:t>
            </w:r>
          </w:p>
        </w:tc>
        <w:tc>
          <w:tcPr>
            <w:tcW w:w="0" w:type="auto"/>
            <w:tcBorders>
              <w:top w:val="single" w:sz="4" w:space="0" w:color="000000"/>
              <w:left w:val="single" w:sz="4" w:space="0" w:color="000000"/>
              <w:bottom w:val="single" w:sz="4" w:space="0" w:color="000000"/>
              <w:right w:val="single" w:sz="4" w:space="0" w:color="000000"/>
            </w:tcBorders>
            <w:hideMark/>
          </w:tcPr>
          <w:p w14:paraId="5418E97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FCAE</w:t>
            </w:r>
          </w:p>
        </w:tc>
        <w:tc>
          <w:tcPr>
            <w:tcW w:w="0" w:type="auto"/>
            <w:tcBorders>
              <w:top w:val="single" w:sz="4" w:space="0" w:color="000000"/>
              <w:left w:val="single" w:sz="4" w:space="0" w:color="000000"/>
              <w:bottom w:val="single" w:sz="4" w:space="0" w:color="000000"/>
              <w:right w:val="single" w:sz="4" w:space="0" w:color="000000"/>
            </w:tcBorders>
            <w:hideMark/>
          </w:tcPr>
          <w:p w14:paraId="5AC082D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77064EE2"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62BFA4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Javier León</w:t>
            </w:r>
          </w:p>
        </w:tc>
        <w:tc>
          <w:tcPr>
            <w:tcW w:w="0" w:type="auto"/>
            <w:tcBorders>
              <w:top w:val="single" w:sz="4" w:space="0" w:color="000000"/>
              <w:left w:val="single" w:sz="4" w:space="0" w:color="000000"/>
              <w:bottom w:val="single" w:sz="4" w:space="0" w:color="000000"/>
              <w:right w:val="single" w:sz="4" w:space="0" w:color="000000"/>
            </w:tcBorders>
            <w:hideMark/>
          </w:tcPr>
          <w:p w14:paraId="502D39D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WFP</w:t>
            </w:r>
          </w:p>
        </w:tc>
        <w:tc>
          <w:tcPr>
            <w:tcW w:w="0" w:type="auto"/>
            <w:tcBorders>
              <w:top w:val="single" w:sz="4" w:space="0" w:color="000000"/>
              <w:left w:val="single" w:sz="4" w:space="0" w:color="000000"/>
              <w:bottom w:val="single" w:sz="4" w:space="0" w:color="000000"/>
              <w:right w:val="single" w:sz="4" w:space="0" w:color="000000"/>
            </w:tcBorders>
            <w:hideMark/>
          </w:tcPr>
          <w:p w14:paraId="7210512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54660C6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80D2EE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Gilberto </w:t>
            </w:r>
            <w:proofErr w:type="spellStart"/>
            <w:r>
              <w:rPr>
                <w:rFonts w:ascii="Calibri" w:eastAsia="Times New Roman" w:hAnsi="Calibri" w:cs="Calibri"/>
                <w:color w:val="000000"/>
                <w:sz w:val="20"/>
                <w:szCs w:val="20"/>
                <w:lang w:eastAsia="en-CA"/>
              </w:rPr>
              <w:t>CuajiboyAWÁ</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3CCD6F65"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FederationCenter</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30374BD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59D5A77E"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69F7220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Alberto </w:t>
            </w:r>
            <w:proofErr w:type="spellStart"/>
            <w:r>
              <w:rPr>
                <w:rFonts w:ascii="Calibri" w:eastAsia="Times New Roman" w:hAnsi="Calibri" w:cs="Calibri"/>
                <w:color w:val="000000"/>
                <w:sz w:val="20"/>
                <w:szCs w:val="20"/>
                <w:lang w:eastAsia="en-CA"/>
              </w:rPr>
              <w:t>Caicedo</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48E0AF5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Community El Pan</w:t>
            </w:r>
          </w:p>
        </w:tc>
        <w:tc>
          <w:tcPr>
            <w:tcW w:w="0" w:type="auto"/>
            <w:tcBorders>
              <w:top w:val="single" w:sz="4" w:space="0" w:color="000000"/>
              <w:left w:val="single" w:sz="4" w:space="0" w:color="000000"/>
              <w:bottom w:val="single" w:sz="4" w:space="0" w:color="000000"/>
              <w:right w:val="single" w:sz="4" w:space="0" w:color="000000"/>
            </w:tcBorders>
            <w:hideMark/>
          </w:tcPr>
          <w:p w14:paraId="6EB2BBA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0F6B16FE"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7487850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Estella Gómez</w:t>
            </w:r>
          </w:p>
        </w:tc>
        <w:tc>
          <w:tcPr>
            <w:tcW w:w="0" w:type="auto"/>
            <w:tcBorders>
              <w:top w:val="single" w:sz="4" w:space="0" w:color="000000"/>
              <w:left w:val="single" w:sz="4" w:space="0" w:color="000000"/>
              <w:bottom w:val="single" w:sz="4" w:space="0" w:color="000000"/>
              <w:right w:val="single" w:sz="4" w:space="0" w:color="000000"/>
            </w:tcBorders>
            <w:hideMark/>
          </w:tcPr>
          <w:p w14:paraId="0E07723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WWF Co</w:t>
            </w:r>
          </w:p>
        </w:tc>
        <w:tc>
          <w:tcPr>
            <w:tcW w:w="0" w:type="auto"/>
            <w:tcBorders>
              <w:top w:val="single" w:sz="4" w:space="0" w:color="000000"/>
              <w:left w:val="single" w:sz="4" w:space="0" w:color="000000"/>
              <w:bottom w:val="single" w:sz="4" w:space="0" w:color="000000"/>
              <w:right w:val="single" w:sz="4" w:space="0" w:color="000000"/>
            </w:tcBorders>
            <w:hideMark/>
          </w:tcPr>
          <w:p w14:paraId="4EB4F6C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30124A1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A5DCFB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Alberto Andrade </w:t>
            </w:r>
          </w:p>
        </w:tc>
        <w:tc>
          <w:tcPr>
            <w:tcW w:w="0" w:type="auto"/>
            <w:tcBorders>
              <w:top w:val="single" w:sz="4" w:space="0" w:color="000000"/>
              <w:left w:val="single" w:sz="4" w:space="0" w:color="000000"/>
              <w:bottom w:val="single" w:sz="4" w:space="0" w:color="000000"/>
              <w:right w:val="single" w:sz="4" w:space="0" w:color="000000"/>
            </w:tcBorders>
            <w:hideMark/>
          </w:tcPr>
          <w:p w14:paraId="1BF55C5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UNIPA</w:t>
            </w:r>
          </w:p>
        </w:tc>
        <w:tc>
          <w:tcPr>
            <w:tcW w:w="0" w:type="auto"/>
            <w:tcBorders>
              <w:top w:val="single" w:sz="4" w:space="0" w:color="000000"/>
              <w:left w:val="single" w:sz="4" w:space="0" w:color="000000"/>
              <w:bottom w:val="single" w:sz="4" w:space="0" w:color="000000"/>
              <w:right w:val="single" w:sz="4" w:space="0" w:color="000000"/>
            </w:tcBorders>
            <w:hideMark/>
          </w:tcPr>
          <w:p w14:paraId="2EE55C4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1BCEF5DB"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8B0371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Guillermo </w:t>
            </w:r>
            <w:proofErr w:type="spellStart"/>
            <w:r>
              <w:rPr>
                <w:rFonts w:ascii="Calibri" w:eastAsia="Times New Roman" w:hAnsi="Calibri" w:cs="Calibri"/>
                <w:color w:val="000000"/>
                <w:sz w:val="20"/>
                <w:szCs w:val="20"/>
                <w:lang w:eastAsia="en-CA"/>
              </w:rPr>
              <w:t>Cantillo</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2B3DF05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Cuenca Council la </w:t>
            </w:r>
            <w:proofErr w:type="spellStart"/>
            <w:r>
              <w:rPr>
                <w:rFonts w:ascii="Calibri" w:eastAsia="Times New Roman" w:hAnsi="Calibri" w:cs="Calibri"/>
                <w:color w:val="000000"/>
                <w:sz w:val="20"/>
                <w:szCs w:val="20"/>
                <w:lang w:eastAsia="en-CA"/>
              </w:rPr>
              <w:t>Güisa</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023A90B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573C856A"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6DBA949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Segundo Aza </w:t>
            </w:r>
          </w:p>
        </w:tc>
        <w:tc>
          <w:tcPr>
            <w:tcW w:w="0" w:type="auto"/>
            <w:tcBorders>
              <w:top w:val="single" w:sz="4" w:space="0" w:color="000000"/>
              <w:left w:val="single" w:sz="4" w:space="0" w:color="000000"/>
              <w:bottom w:val="single" w:sz="4" w:space="0" w:color="000000"/>
              <w:right w:val="single" w:sz="4" w:space="0" w:color="000000"/>
            </w:tcBorders>
            <w:hideMark/>
          </w:tcPr>
          <w:p w14:paraId="29E296D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Sur </w:t>
            </w:r>
            <w:proofErr w:type="spellStart"/>
            <w:r>
              <w:rPr>
                <w:rFonts w:ascii="Calibri" w:eastAsia="Times New Roman" w:hAnsi="Calibri" w:cs="Calibri"/>
                <w:color w:val="000000"/>
                <w:sz w:val="20"/>
                <w:szCs w:val="20"/>
                <w:lang w:eastAsia="en-CA"/>
              </w:rPr>
              <w:t>Sostenible</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74C2261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29DC50F5"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47D728E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Henry </w:t>
            </w:r>
            <w:proofErr w:type="spellStart"/>
            <w:r>
              <w:rPr>
                <w:rFonts w:ascii="Calibri" w:eastAsia="Times New Roman" w:hAnsi="Calibri" w:cs="Calibri"/>
                <w:color w:val="000000"/>
                <w:sz w:val="20"/>
                <w:szCs w:val="20"/>
                <w:lang w:eastAsia="en-CA"/>
              </w:rPr>
              <w:t>Vinueza</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2449B16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Association Boards of Irrigation North </w:t>
            </w:r>
          </w:p>
        </w:tc>
        <w:tc>
          <w:tcPr>
            <w:tcW w:w="0" w:type="auto"/>
            <w:tcBorders>
              <w:top w:val="single" w:sz="4" w:space="0" w:color="000000"/>
              <w:left w:val="single" w:sz="4" w:space="0" w:color="000000"/>
              <w:bottom w:val="single" w:sz="4" w:space="0" w:color="000000"/>
              <w:right w:val="single" w:sz="4" w:space="0" w:color="000000"/>
            </w:tcBorders>
            <w:hideMark/>
          </w:tcPr>
          <w:p w14:paraId="3A27F48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6FBB5068"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041A9B2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Silvio Alvarez</w:t>
            </w:r>
          </w:p>
        </w:tc>
        <w:tc>
          <w:tcPr>
            <w:tcW w:w="0" w:type="auto"/>
            <w:tcBorders>
              <w:top w:val="single" w:sz="4" w:space="0" w:color="000000"/>
              <w:left w:val="single" w:sz="4" w:space="0" w:color="000000"/>
              <w:bottom w:val="single" w:sz="4" w:space="0" w:color="000000"/>
              <w:right w:val="single" w:sz="4" w:space="0" w:color="000000"/>
            </w:tcBorders>
            <w:hideMark/>
          </w:tcPr>
          <w:p w14:paraId="0BBED9F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Federation AWA Center</w:t>
            </w:r>
          </w:p>
        </w:tc>
        <w:tc>
          <w:tcPr>
            <w:tcW w:w="0" w:type="auto"/>
            <w:tcBorders>
              <w:top w:val="single" w:sz="4" w:space="0" w:color="000000"/>
              <w:left w:val="single" w:sz="4" w:space="0" w:color="000000"/>
              <w:bottom w:val="single" w:sz="4" w:space="0" w:color="000000"/>
              <w:right w:val="single" w:sz="4" w:space="0" w:color="000000"/>
            </w:tcBorders>
            <w:hideMark/>
          </w:tcPr>
          <w:p w14:paraId="33BCDEC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11612880"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00089701"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Marcial</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Gamboa</w:t>
            </w:r>
            <w:proofErr w:type="spellEnd"/>
          </w:p>
        </w:tc>
        <w:tc>
          <w:tcPr>
            <w:tcW w:w="0" w:type="auto"/>
            <w:tcBorders>
              <w:top w:val="single" w:sz="4" w:space="0" w:color="000000"/>
              <w:left w:val="single" w:sz="4" w:space="0" w:color="000000"/>
              <w:bottom w:val="single" w:sz="4" w:space="0" w:color="000000"/>
              <w:right w:val="single" w:sz="4" w:space="0" w:color="000000"/>
            </w:tcBorders>
            <w:hideMark/>
          </w:tcPr>
          <w:p w14:paraId="6495A028"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Espriella</w:t>
            </w:r>
            <w:proofErr w:type="spellEnd"/>
            <w:r>
              <w:rPr>
                <w:rFonts w:ascii="Calibri" w:eastAsia="Times New Roman" w:hAnsi="Calibri" w:cs="Calibri"/>
                <w:color w:val="000000"/>
                <w:sz w:val="20"/>
                <w:szCs w:val="20"/>
                <w:lang w:eastAsia="en-CA"/>
              </w:rPr>
              <w:t xml:space="preserve"> Parish </w:t>
            </w:r>
            <w:proofErr w:type="spellStart"/>
            <w:r>
              <w:rPr>
                <w:rFonts w:ascii="Calibri" w:eastAsia="Times New Roman" w:hAnsi="Calibri" w:cs="Calibri"/>
                <w:color w:val="000000"/>
                <w:sz w:val="20"/>
                <w:szCs w:val="20"/>
                <w:lang w:eastAsia="en-CA"/>
              </w:rPr>
              <w:t>Tumaco</w:t>
            </w:r>
            <w:proofErr w:type="spellEnd"/>
            <w:r>
              <w:rPr>
                <w:rFonts w:ascii="Calibri" w:eastAsia="Times New Roman" w:hAnsi="Calibri" w:cs="Calibri"/>
                <w:color w:val="000000"/>
                <w:sz w:val="20"/>
                <w:szCs w:val="20"/>
                <w:lang w:eastAsia="en-CA"/>
              </w:rPr>
              <w:t xml:space="preserve"> Nariño</w:t>
            </w:r>
          </w:p>
        </w:tc>
        <w:tc>
          <w:tcPr>
            <w:tcW w:w="0" w:type="auto"/>
            <w:tcBorders>
              <w:top w:val="single" w:sz="4" w:space="0" w:color="000000"/>
              <w:left w:val="single" w:sz="4" w:space="0" w:color="000000"/>
              <w:bottom w:val="single" w:sz="4" w:space="0" w:color="000000"/>
              <w:right w:val="single" w:sz="4" w:space="0" w:color="000000"/>
            </w:tcBorders>
            <w:hideMark/>
          </w:tcPr>
          <w:p w14:paraId="5B2E117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6D0D53C4"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575B6C4C"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Zulmary</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Valoyes</w:t>
            </w:r>
            <w:proofErr w:type="spellEnd"/>
            <w:r>
              <w:rPr>
                <w:rFonts w:ascii="Calibri" w:eastAsia="Times New Roman" w:hAnsi="Calibri" w:cs="Calibri"/>
                <w:color w:val="000000"/>
                <w:sz w:val="20"/>
                <w:szCs w:val="20"/>
                <w:lang w:eastAsia="en-CA"/>
              </w:rPr>
              <w:t xml:space="preserve"> </w:t>
            </w:r>
          </w:p>
        </w:tc>
        <w:tc>
          <w:tcPr>
            <w:tcW w:w="0" w:type="auto"/>
            <w:tcBorders>
              <w:top w:val="single" w:sz="4" w:space="0" w:color="000000"/>
              <w:left w:val="single" w:sz="4" w:space="0" w:color="000000"/>
              <w:bottom w:val="single" w:sz="4" w:space="0" w:color="000000"/>
              <w:right w:val="single" w:sz="4" w:space="0" w:color="000000"/>
            </w:tcBorders>
            <w:hideMark/>
          </w:tcPr>
          <w:p w14:paraId="6956897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IIAP</w:t>
            </w:r>
          </w:p>
        </w:tc>
        <w:tc>
          <w:tcPr>
            <w:tcW w:w="0" w:type="auto"/>
            <w:tcBorders>
              <w:top w:val="single" w:sz="4" w:space="0" w:color="000000"/>
              <w:left w:val="single" w:sz="4" w:space="0" w:color="000000"/>
              <w:bottom w:val="single" w:sz="4" w:space="0" w:color="000000"/>
              <w:right w:val="single" w:sz="4" w:space="0" w:color="000000"/>
            </w:tcBorders>
            <w:hideMark/>
          </w:tcPr>
          <w:p w14:paraId="37E526C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r w:rsidR="00DD3961" w14:paraId="3496C950"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3537E3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Gladys Well</w:t>
            </w:r>
          </w:p>
        </w:tc>
        <w:tc>
          <w:tcPr>
            <w:tcW w:w="0" w:type="auto"/>
            <w:tcBorders>
              <w:top w:val="single" w:sz="4" w:space="0" w:color="000000"/>
              <w:left w:val="single" w:sz="4" w:space="0" w:color="000000"/>
              <w:bottom w:val="single" w:sz="4" w:space="0" w:color="000000"/>
              <w:right w:val="single" w:sz="4" w:space="0" w:color="000000"/>
            </w:tcBorders>
            <w:hideMark/>
          </w:tcPr>
          <w:p w14:paraId="251EC3B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SENAGUA</w:t>
            </w:r>
          </w:p>
        </w:tc>
        <w:tc>
          <w:tcPr>
            <w:tcW w:w="0" w:type="auto"/>
            <w:tcBorders>
              <w:top w:val="single" w:sz="4" w:space="0" w:color="000000"/>
              <w:left w:val="single" w:sz="4" w:space="0" w:color="000000"/>
              <w:bottom w:val="single" w:sz="4" w:space="0" w:color="000000"/>
              <w:right w:val="single" w:sz="4" w:space="0" w:color="000000"/>
            </w:tcBorders>
            <w:hideMark/>
          </w:tcPr>
          <w:p w14:paraId="2846863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32C12BA1"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7B5CEC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Jesús Suárez</w:t>
            </w:r>
          </w:p>
        </w:tc>
        <w:tc>
          <w:tcPr>
            <w:tcW w:w="0" w:type="auto"/>
            <w:tcBorders>
              <w:top w:val="single" w:sz="4" w:space="0" w:color="000000"/>
              <w:left w:val="single" w:sz="4" w:space="0" w:color="000000"/>
              <w:bottom w:val="single" w:sz="4" w:space="0" w:color="000000"/>
              <w:right w:val="single" w:sz="4" w:space="0" w:color="000000"/>
            </w:tcBorders>
            <w:hideMark/>
          </w:tcPr>
          <w:p w14:paraId="34CAF53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SENAGUA</w:t>
            </w:r>
          </w:p>
        </w:tc>
        <w:tc>
          <w:tcPr>
            <w:tcW w:w="0" w:type="auto"/>
            <w:tcBorders>
              <w:top w:val="single" w:sz="4" w:space="0" w:color="000000"/>
              <w:left w:val="single" w:sz="4" w:space="0" w:color="000000"/>
              <w:bottom w:val="single" w:sz="4" w:space="0" w:color="000000"/>
              <w:right w:val="single" w:sz="4" w:space="0" w:color="000000"/>
            </w:tcBorders>
            <w:hideMark/>
          </w:tcPr>
          <w:p w14:paraId="692E5D6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bl>
    <w:p w14:paraId="37B38DB7"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7E50713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List of people interviewed</w:t>
      </w:r>
    </w:p>
    <w:tbl>
      <w:tblPr>
        <w:tblW w:w="0" w:type="auto"/>
        <w:tblLook w:val="04A0" w:firstRow="1" w:lastRow="0" w:firstColumn="1" w:lastColumn="0" w:noHBand="0" w:noVBand="1"/>
      </w:tblPr>
      <w:tblGrid>
        <w:gridCol w:w="1857"/>
        <w:gridCol w:w="1370"/>
        <w:gridCol w:w="2410"/>
        <w:gridCol w:w="1134"/>
      </w:tblGrid>
      <w:tr w:rsidR="00DD3961" w14:paraId="10E3F3CF"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6F14D6C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Name</w:t>
            </w:r>
          </w:p>
        </w:tc>
        <w:tc>
          <w:tcPr>
            <w:tcW w:w="1370" w:type="dxa"/>
            <w:tcBorders>
              <w:top w:val="single" w:sz="4" w:space="0" w:color="000000"/>
              <w:left w:val="single" w:sz="4" w:space="0" w:color="000000"/>
              <w:bottom w:val="single" w:sz="4" w:space="0" w:color="000000"/>
              <w:right w:val="single" w:sz="4" w:space="0" w:color="000000"/>
            </w:tcBorders>
            <w:hideMark/>
          </w:tcPr>
          <w:p w14:paraId="0D804AF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Institution</w:t>
            </w:r>
          </w:p>
        </w:tc>
        <w:tc>
          <w:tcPr>
            <w:tcW w:w="2410" w:type="dxa"/>
            <w:tcBorders>
              <w:top w:val="single" w:sz="4" w:space="0" w:color="000000"/>
              <w:left w:val="single" w:sz="4" w:space="0" w:color="000000"/>
              <w:bottom w:val="single" w:sz="4" w:space="0" w:color="000000"/>
              <w:right w:val="single" w:sz="4" w:space="0" w:color="000000"/>
            </w:tcBorders>
            <w:hideMark/>
          </w:tcPr>
          <w:p w14:paraId="0DC8A1E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Position</w:t>
            </w:r>
          </w:p>
        </w:tc>
        <w:tc>
          <w:tcPr>
            <w:tcW w:w="1134" w:type="dxa"/>
            <w:tcBorders>
              <w:top w:val="single" w:sz="4" w:space="0" w:color="000000"/>
              <w:left w:val="single" w:sz="4" w:space="0" w:color="000000"/>
              <w:bottom w:val="single" w:sz="4" w:space="0" w:color="000000"/>
              <w:right w:val="single" w:sz="4" w:space="0" w:color="000000"/>
            </w:tcBorders>
            <w:hideMark/>
          </w:tcPr>
          <w:p w14:paraId="64F7C8E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Country</w:t>
            </w:r>
          </w:p>
        </w:tc>
      </w:tr>
      <w:tr w:rsidR="00DD3961" w14:paraId="7D4674D4"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40CF92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Johanna Flores</w:t>
            </w:r>
          </w:p>
        </w:tc>
        <w:tc>
          <w:tcPr>
            <w:tcW w:w="1370" w:type="dxa"/>
            <w:tcBorders>
              <w:top w:val="single" w:sz="4" w:space="0" w:color="000000"/>
              <w:left w:val="single" w:sz="4" w:space="0" w:color="000000"/>
              <w:bottom w:val="single" w:sz="4" w:space="0" w:color="000000"/>
              <w:right w:val="single" w:sz="4" w:space="0" w:color="000000"/>
            </w:tcBorders>
            <w:hideMark/>
          </w:tcPr>
          <w:p w14:paraId="50BF4CC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FAO</w:t>
            </w:r>
          </w:p>
        </w:tc>
        <w:tc>
          <w:tcPr>
            <w:tcW w:w="2410" w:type="dxa"/>
            <w:tcBorders>
              <w:top w:val="single" w:sz="4" w:space="0" w:color="000000"/>
              <w:left w:val="single" w:sz="4" w:space="0" w:color="000000"/>
              <w:bottom w:val="single" w:sz="4" w:space="0" w:color="000000"/>
              <w:right w:val="single" w:sz="4" w:space="0" w:color="000000"/>
            </w:tcBorders>
            <w:hideMark/>
          </w:tcPr>
          <w:p w14:paraId="55F1083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Assistant Representative</w:t>
            </w:r>
          </w:p>
        </w:tc>
        <w:tc>
          <w:tcPr>
            <w:tcW w:w="1134" w:type="dxa"/>
            <w:tcBorders>
              <w:top w:val="single" w:sz="4" w:space="0" w:color="000000"/>
              <w:left w:val="single" w:sz="4" w:space="0" w:color="000000"/>
              <w:bottom w:val="single" w:sz="4" w:space="0" w:color="000000"/>
              <w:right w:val="single" w:sz="4" w:space="0" w:color="000000"/>
            </w:tcBorders>
            <w:hideMark/>
          </w:tcPr>
          <w:p w14:paraId="1AD5205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470EB6FE"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2FCF74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Alicia Ortiz</w:t>
            </w:r>
          </w:p>
        </w:tc>
        <w:tc>
          <w:tcPr>
            <w:tcW w:w="1370" w:type="dxa"/>
            <w:tcBorders>
              <w:top w:val="single" w:sz="4" w:space="0" w:color="000000"/>
              <w:left w:val="single" w:sz="4" w:space="0" w:color="000000"/>
              <w:bottom w:val="single" w:sz="4" w:space="0" w:color="000000"/>
              <w:right w:val="single" w:sz="4" w:space="0" w:color="000000"/>
            </w:tcBorders>
            <w:hideMark/>
          </w:tcPr>
          <w:p w14:paraId="0DA842C8"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Altrópico</w:t>
            </w:r>
            <w:proofErr w:type="spellEnd"/>
          </w:p>
        </w:tc>
        <w:tc>
          <w:tcPr>
            <w:tcW w:w="2410" w:type="dxa"/>
            <w:tcBorders>
              <w:top w:val="single" w:sz="4" w:space="0" w:color="000000"/>
              <w:left w:val="single" w:sz="4" w:space="0" w:color="000000"/>
              <w:bottom w:val="single" w:sz="4" w:space="0" w:color="000000"/>
              <w:right w:val="single" w:sz="4" w:space="0" w:color="000000"/>
            </w:tcBorders>
            <w:hideMark/>
          </w:tcPr>
          <w:p w14:paraId="0B16A52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Director</w:t>
            </w:r>
          </w:p>
        </w:tc>
        <w:tc>
          <w:tcPr>
            <w:tcW w:w="1134" w:type="dxa"/>
            <w:tcBorders>
              <w:top w:val="single" w:sz="4" w:space="0" w:color="000000"/>
              <w:left w:val="single" w:sz="4" w:space="0" w:color="000000"/>
              <w:bottom w:val="single" w:sz="4" w:space="0" w:color="000000"/>
              <w:right w:val="single" w:sz="4" w:space="0" w:color="000000"/>
            </w:tcBorders>
            <w:hideMark/>
          </w:tcPr>
          <w:p w14:paraId="7ECAD9B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73476410"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A8EF7A1"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Saraswati</w:t>
            </w:r>
            <w:proofErr w:type="spellEnd"/>
            <w:r>
              <w:rPr>
                <w:rFonts w:ascii="Calibri" w:eastAsia="Times New Roman" w:hAnsi="Calibri" w:cs="Calibri"/>
                <w:color w:val="000000"/>
                <w:sz w:val="20"/>
                <w:szCs w:val="20"/>
                <w:lang w:eastAsia="en-CA"/>
              </w:rPr>
              <w:t xml:space="preserve"> Rodríguez</w:t>
            </w:r>
          </w:p>
        </w:tc>
        <w:tc>
          <w:tcPr>
            <w:tcW w:w="1370" w:type="dxa"/>
            <w:tcBorders>
              <w:top w:val="single" w:sz="4" w:space="0" w:color="000000"/>
              <w:left w:val="single" w:sz="4" w:space="0" w:color="000000"/>
              <w:bottom w:val="single" w:sz="4" w:space="0" w:color="000000"/>
              <w:right w:val="single" w:sz="4" w:space="0" w:color="000000"/>
            </w:tcBorders>
            <w:hideMark/>
          </w:tcPr>
          <w:p w14:paraId="79BEAEA8"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Hyvos</w:t>
            </w:r>
            <w:proofErr w:type="spellEnd"/>
          </w:p>
        </w:tc>
        <w:tc>
          <w:tcPr>
            <w:tcW w:w="2410" w:type="dxa"/>
            <w:tcBorders>
              <w:top w:val="single" w:sz="4" w:space="0" w:color="000000"/>
              <w:left w:val="single" w:sz="4" w:space="0" w:color="000000"/>
              <w:bottom w:val="single" w:sz="4" w:space="0" w:color="000000"/>
              <w:right w:val="single" w:sz="4" w:space="0" w:color="000000"/>
            </w:tcBorders>
            <w:hideMark/>
          </w:tcPr>
          <w:p w14:paraId="233F54B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Independent consultant</w:t>
            </w:r>
          </w:p>
        </w:tc>
        <w:tc>
          <w:tcPr>
            <w:tcW w:w="1134" w:type="dxa"/>
            <w:tcBorders>
              <w:top w:val="single" w:sz="4" w:space="0" w:color="000000"/>
              <w:left w:val="single" w:sz="4" w:space="0" w:color="000000"/>
              <w:bottom w:val="single" w:sz="4" w:space="0" w:color="000000"/>
              <w:right w:val="single" w:sz="4" w:space="0" w:color="000000"/>
            </w:tcBorders>
            <w:hideMark/>
          </w:tcPr>
          <w:p w14:paraId="4FA11FA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2442DA9B"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14D6AE5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Cecilia Palomino</w:t>
            </w:r>
          </w:p>
        </w:tc>
        <w:tc>
          <w:tcPr>
            <w:tcW w:w="1370" w:type="dxa"/>
            <w:tcBorders>
              <w:top w:val="single" w:sz="4" w:space="0" w:color="000000"/>
              <w:left w:val="single" w:sz="4" w:space="0" w:color="000000"/>
              <w:bottom w:val="single" w:sz="4" w:space="0" w:color="000000"/>
              <w:right w:val="single" w:sz="4" w:space="0" w:color="000000"/>
            </w:tcBorders>
            <w:hideMark/>
          </w:tcPr>
          <w:p w14:paraId="0AEA9161" w14:textId="77777777" w:rsidR="00DD3961" w:rsidRDefault="00DD3961">
            <w:pPr>
              <w:rPr>
                <w:rFonts w:ascii="Times New Roman" w:eastAsia="Times New Roman" w:hAnsi="Times New Roman" w:cs="Times New Roman"/>
                <w:sz w:val="24"/>
                <w:szCs w:val="24"/>
                <w:lang w:eastAsia="en-CA"/>
              </w:rPr>
            </w:pPr>
          </w:p>
        </w:tc>
        <w:tc>
          <w:tcPr>
            <w:tcW w:w="2410" w:type="dxa"/>
            <w:tcBorders>
              <w:top w:val="single" w:sz="4" w:space="0" w:color="000000"/>
              <w:left w:val="single" w:sz="4" w:space="0" w:color="000000"/>
              <w:bottom w:val="single" w:sz="4" w:space="0" w:color="000000"/>
              <w:right w:val="single" w:sz="4" w:space="0" w:color="000000"/>
            </w:tcBorders>
            <w:hideMark/>
          </w:tcPr>
          <w:p w14:paraId="63D7E6F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Community leader</w:t>
            </w:r>
          </w:p>
        </w:tc>
        <w:tc>
          <w:tcPr>
            <w:tcW w:w="1134" w:type="dxa"/>
            <w:tcBorders>
              <w:top w:val="single" w:sz="4" w:space="0" w:color="000000"/>
              <w:left w:val="single" w:sz="4" w:space="0" w:color="000000"/>
              <w:bottom w:val="single" w:sz="4" w:space="0" w:color="000000"/>
              <w:right w:val="single" w:sz="4" w:space="0" w:color="000000"/>
            </w:tcBorders>
            <w:hideMark/>
          </w:tcPr>
          <w:p w14:paraId="6CC387E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Colombia</w:t>
            </w:r>
          </w:p>
        </w:tc>
      </w:tr>
    </w:tbl>
    <w:p w14:paraId="33C92CAC"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47C39D72"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 xml:space="preserve">List of participants of a focus group in Ecuador </w:t>
      </w:r>
    </w:p>
    <w:tbl>
      <w:tblPr>
        <w:tblW w:w="0" w:type="auto"/>
        <w:tblLook w:val="04A0" w:firstRow="1" w:lastRow="0" w:firstColumn="1" w:lastColumn="0" w:noHBand="0" w:noVBand="1"/>
      </w:tblPr>
      <w:tblGrid>
        <w:gridCol w:w="1433"/>
        <w:gridCol w:w="2844"/>
        <w:gridCol w:w="3543"/>
        <w:gridCol w:w="1008"/>
      </w:tblGrid>
      <w:tr w:rsidR="00DD3961" w14:paraId="05A88D98"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367C0BE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Name</w:t>
            </w:r>
          </w:p>
        </w:tc>
        <w:tc>
          <w:tcPr>
            <w:tcW w:w="2844" w:type="dxa"/>
            <w:tcBorders>
              <w:top w:val="single" w:sz="4" w:space="0" w:color="000000"/>
              <w:left w:val="single" w:sz="4" w:space="0" w:color="000000"/>
              <w:bottom w:val="single" w:sz="4" w:space="0" w:color="000000"/>
              <w:right w:val="single" w:sz="4" w:space="0" w:color="000000"/>
            </w:tcBorders>
            <w:hideMark/>
          </w:tcPr>
          <w:p w14:paraId="4FE0C56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Institution</w:t>
            </w:r>
          </w:p>
        </w:tc>
        <w:tc>
          <w:tcPr>
            <w:tcW w:w="3543" w:type="dxa"/>
            <w:tcBorders>
              <w:top w:val="single" w:sz="4" w:space="0" w:color="000000"/>
              <w:left w:val="single" w:sz="4" w:space="0" w:color="000000"/>
              <w:bottom w:val="single" w:sz="4" w:space="0" w:color="000000"/>
              <w:right w:val="single" w:sz="4" w:space="0" w:color="000000"/>
            </w:tcBorders>
            <w:hideMark/>
          </w:tcPr>
          <w:p w14:paraId="7D01D44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Position</w:t>
            </w:r>
          </w:p>
        </w:tc>
        <w:tc>
          <w:tcPr>
            <w:tcW w:w="1008" w:type="dxa"/>
            <w:tcBorders>
              <w:top w:val="single" w:sz="4" w:space="0" w:color="000000"/>
              <w:left w:val="single" w:sz="4" w:space="0" w:color="000000"/>
              <w:bottom w:val="single" w:sz="4" w:space="0" w:color="000000"/>
              <w:right w:val="single" w:sz="4" w:space="0" w:color="000000"/>
            </w:tcBorders>
            <w:hideMark/>
          </w:tcPr>
          <w:p w14:paraId="4A38F1F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Country</w:t>
            </w:r>
          </w:p>
        </w:tc>
      </w:tr>
      <w:tr w:rsidR="00DD3961" w14:paraId="7C57EEDB"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2E4CBE69"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Susan </w:t>
            </w:r>
            <w:proofErr w:type="spellStart"/>
            <w:r>
              <w:rPr>
                <w:rFonts w:ascii="Calibri" w:eastAsia="Times New Roman" w:hAnsi="Calibri" w:cs="Calibri"/>
                <w:color w:val="000000"/>
                <w:sz w:val="20"/>
                <w:szCs w:val="20"/>
                <w:lang w:eastAsia="en-CA"/>
              </w:rPr>
              <w:t>Poats</w:t>
            </w:r>
            <w:proofErr w:type="spellEnd"/>
          </w:p>
        </w:tc>
        <w:tc>
          <w:tcPr>
            <w:tcW w:w="2844" w:type="dxa"/>
            <w:tcBorders>
              <w:top w:val="single" w:sz="4" w:space="0" w:color="000000"/>
              <w:left w:val="single" w:sz="4" w:space="0" w:color="000000"/>
              <w:bottom w:val="single" w:sz="4" w:space="0" w:color="000000"/>
              <w:right w:val="single" w:sz="4" w:space="0" w:color="000000"/>
            </w:tcBorders>
            <w:hideMark/>
          </w:tcPr>
          <w:p w14:paraId="513192D7" w14:textId="77777777" w:rsidR="00DD3961" w:rsidRDefault="00DD3961">
            <w:pPr>
              <w:spacing w:after="0" w:line="240" w:lineRule="auto"/>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Corporacion</w:t>
            </w:r>
            <w:proofErr w:type="spellEnd"/>
            <w:r>
              <w:rPr>
                <w:rFonts w:ascii="Calibri" w:eastAsia="Times New Roman" w:hAnsi="Calibri" w:cs="Calibri"/>
                <w:color w:val="000000"/>
                <w:sz w:val="20"/>
                <w:szCs w:val="20"/>
                <w:lang w:eastAsia="en-CA"/>
              </w:rPr>
              <w:t xml:space="preserve"> Randi </w:t>
            </w:r>
            <w:proofErr w:type="spellStart"/>
            <w:r>
              <w:rPr>
                <w:rFonts w:ascii="Calibri" w:eastAsia="Times New Roman" w:hAnsi="Calibri" w:cs="Calibri"/>
                <w:color w:val="000000"/>
                <w:sz w:val="20"/>
                <w:szCs w:val="20"/>
                <w:lang w:eastAsia="en-CA"/>
              </w:rPr>
              <w:t>Randi</w:t>
            </w:r>
            <w:proofErr w:type="spellEnd"/>
            <w:r>
              <w:rPr>
                <w:rFonts w:ascii="Calibri" w:eastAsia="Times New Roman" w:hAnsi="Calibri" w:cs="Calibri"/>
                <w:color w:val="000000"/>
                <w:sz w:val="20"/>
                <w:szCs w:val="20"/>
                <w:lang w:eastAsia="en-CA"/>
              </w:rPr>
              <w:t xml:space="preserve"> Group</w:t>
            </w:r>
          </w:p>
        </w:tc>
        <w:tc>
          <w:tcPr>
            <w:tcW w:w="3543" w:type="dxa"/>
            <w:tcBorders>
              <w:top w:val="single" w:sz="4" w:space="0" w:color="000000"/>
              <w:left w:val="single" w:sz="4" w:space="0" w:color="000000"/>
              <w:bottom w:val="single" w:sz="4" w:space="0" w:color="000000"/>
              <w:right w:val="single" w:sz="4" w:space="0" w:color="000000"/>
            </w:tcBorders>
            <w:hideMark/>
          </w:tcPr>
          <w:p w14:paraId="75DB33FE"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Director</w:t>
            </w:r>
          </w:p>
        </w:tc>
        <w:tc>
          <w:tcPr>
            <w:tcW w:w="1008" w:type="dxa"/>
            <w:tcBorders>
              <w:top w:val="single" w:sz="4" w:space="0" w:color="000000"/>
              <w:left w:val="single" w:sz="4" w:space="0" w:color="000000"/>
              <w:bottom w:val="single" w:sz="4" w:space="0" w:color="000000"/>
              <w:right w:val="single" w:sz="4" w:space="0" w:color="000000"/>
            </w:tcBorders>
            <w:hideMark/>
          </w:tcPr>
          <w:p w14:paraId="75669B12"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4E84650D" w14:textId="77777777" w:rsidTr="00DD3961">
        <w:tc>
          <w:tcPr>
            <w:tcW w:w="0" w:type="auto"/>
            <w:tcBorders>
              <w:top w:val="single" w:sz="4" w:space="0" w:color="000000"/>
              <w:left w:val="single" w:sz="4" w:space="0" w:color="000000"/>
              <w:bottom w:val="single" w:sz="4" w:space="0" w:color="000000"/>
              <w:right w:val="single" w:sz="4" w:space="0" w:color="000000"/>
            </w:tcBorders>
            <w:hideMark/>
          </w:tcPr>
          <w:p w14:paraId="5473485C"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Carla Valdospinos</w:t>
            </w:r>
          </w:p>
        </w:tc>
        <w:tc>
          <w:tcPr>
            <w:tcW w:w="2844" w:type="dxa"/>
            <w:tcBorders>
              <w:top w:val="single" w:sz="4" w:space="0" w:color="000000"/>
              <w:left w:val="single" w:sz="4" w:space="0" w:color="000000"/>
              <w:bottom w:val="single" w:sz="4" w:space="0" w:color="000000"/>
              <w:right w:val="single" w:sz="4" w:space="0" w:color="000000"/>
            </w:tcBorders>
            <w:hideMark/>
          </w:tcPr>
          <w:p w14:paraId="65ABD48D" w14:textId="77777777" w:rsidR="00DD3961" w:rsidRDefault="00DD3961">
            <w:pPr>
              <w:spacing w:after="0" w:line="240" w:lineRule="auto"/>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Corporacion</w:t>
            </w:r>
            <w:proofErr w:type="spellEnd"/>
            <w:r>
              <w:rPr>
                <w:rFonts w:ascii="Calibri" w:eastAsia="Times New Roman" w:hAnsi="Calibri" w:cs="Calibri"/>
                <w:color w:val="000000"/>
                <w:sz w:val="20"/>
                <w:szCs w:val="20"/>
                <w:lang w:eastAsia="en-CA"/>
              </w:rPr>
              <w:t xml:space="preserve"> Randi </w:t>
            </w:r>
            <w:proofErr w:type="spellStart"/>
            <w:r>
              <w:rPr>
                <w:rFonts w:ascii="Calibri" w:eastAsia="Times New Roman" w:hAnsi="Calibri" w:cs="Calibri"/>
                <w:color w:val="000000"/>
                <w:sz w:val="20"/>
                <w:szCs w:val="20"/>
                <w:lang w:eastAsia="en-CA"/>
              </w:rPr>
              <w:t>Randi</w:t>
            </w:r>
            <w:proofErr w:type="spellEnd"/>
            <w:r>
              <w:rPr>
                <w:rFonts w:ascii="Calibri" w:eastAsia="Times New Roman" w:hAnsi="Calibri" w:cs="Calibri"/>
                <w:color w:val="000000"/>
                <w:sz w:val="20"/>
                <w:szCs w:val="20"/>
                <w:lang w:eastAsia="en-CA"/>
              </w:rPr>
              <w:t xml:space="preserve"> Group</w:t>
            </w:r>
          </w:p>
        </w:tc>
        <w:tc>
          <w:tcPr>
            <w:tcW w:w="3543" w:type="dxa"/>
            <w:tcBorders>
              <w:top w:val="single" w:sz="4" w:space="0" w:color="000000"/>
              <w:left w:val="single" w:sz="4" w:space="0" w:color="000000"/>
              <w:bottom w:val="single" w:sz="4" w:space="0" w:color="000000"/>
              <w:right w:val="single" w:sz="4" w:space="0" w:color="000000"/>
            </w:tcBorders>
            <w:hideMark/>
          </w:tcPr>
          <w:p w14:paraId="0C060AFB"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Geographer</w:t>
            </w:r>
          </w:p>
        </w:tc>
        <w:tc>
          <w:tcPr>
            <w:tcW w:w="1008" w:type="dxa"/>
            <w:tcBorders>
              <w:top w:val="single" w:sz="4" w:space="0" w:color="000000"/>
              <w:left w:val="single" w:sz="4" w:space="0" w:color="000000"/>
              <w:bottom w:val="single" w:sz="4" w:space="0" w:color="000000"/>
              <w:right w:val="single" w:sz="4" w:space="0" w:color="000000"/>
            </w:tcBorders>
            <w:hideMark/>
          </w:tcPr>
          <w:p w14:paraId="5EDFE5EC"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r w:rsidR="00DD3961" w14:paraId="66E0707D" w14:textId="77777777" w:rsidTr="00DD3961">
        <w:trPr>
          <w:trHeight w:val="338"/>
        </w:trPr>
        <w:tc>
          <w:tcPr>
            <w:tcW w:w="0" w:type="auto"/>
            <w:tcBorders>
              <w:top w:val="single" w:sz="4" w:space="0" w:color="000000"/>
              <w:left w:val="single" w:sz="4" w:space="0" w:color="000000"/>
              <w:bottom w:val="single" w:sz="4" w:space="0" w:color="000000"/>
              <w:right w:val="single" w:sz="4" w:space="0" w:color="000000"/>
            </w:tcBorders>
            <w:hideMark/>
          </w:tcPr>
          <w:p w14:paraId="48258727" w14:textId="77777777" w:rsidR="00DD3961" w:rsidRDefault="00DD3961">
            <w:pPr>
              <w:spacing w:after="28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Paul Jaramillo</w:t>
            </w:r>
          </w:p>
        </w:tc>
        <w:tc>
          <w:tcPr>
            <w:tcW w:w="2844" w:type="dxa"/>
            <w:tcBorders>
              <w:top w:val="single" w:sz="4" w:space="0" w:color="000000"/>
              <w:left w:val="single" w:sz="4" w:space="0" w:color="000000"/>
              <w:bottom w:val="single" w:sz="4" w:space="0" w:color="000000"/>
              <w:right w:val="single" w:sz="4" w:space="0" w:color="000000"/>
            </w:tcBorders>
            <w:hideMark/>
          </w:tcPr>
          <w:p w14:paraId="62BEBE6E" w14:textId="77777777" w:rsidR="00DD3961" w:rsidRDefault="00DD3961">
            <w:pPr>
              <w:spacing w:after="0" w:line="240" w:lineRule="auto"/>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Corporacion</w:t>
            </w:r>
            <w:proofErr w:type="spellEnd"/>
            <w:r>
              <w:rPr>
                <w:rFonts w:ascii="Calibri" w:eastAsia="Times New Roman" w:hAnsi="Calibri" w:cs="Calibri"/>
                <w:color w:val="000000"/>
                <w:sz w:val="20"/>
                <w:szCs w:val="20"/>
                <w:lang w:eastAsia="en-CA"/>
              </w:rPr>
              <w:t xml:space="preserve"> Randi </w:t>
            </w:r>
            <w:proofErr w:type="spellStart"/>
            <w:r>
              <w:rPr>
                <w:rFonts w:ascii="Calibri" w:eastAsia="Times New Roman" w:hAnsi="Calibri" w:cs="Calibri"/>
                <w:color w:val="000000"/>
                <w:sz w:val="20"/>
                <w:szCs w:val="20"/>
                <w:lang w:eastAsia="en-CA"/>
              </w:rPr>
              <w:t>Randi</w:t>
            </w:r>
            <w:proofErr w:type="spellEnd"/>
            <w:r>
              <w:rPr>
                <w:rFonts w:ascii="Calibri" w:eastAsia="Times New Roman" w:hAnsi="Calibri" w:cs="Calibri"/>
                <w:color w:val="000000"/>
                <w:sz w:val="20"/>
                <w:szCs w:val="20"/>
                <w:lang w:eastAsia="en-CA"/>
              </w:rPr>
              <w:t xml:space="preserve"> Group</w:t>
            </w:r>
          </w:p>
        </w:tc>
        <w:tc>
          <w:tcPr>
            <w:tcW w:w="3543" w:type="dxa"/>
            <w:tcBorders>
              <w:top w:val="single" w:sz="4" w:space="0" w:color="000000"/>
              <w:left w:val="single" w:sz="4" w:space="0" w:color="000000"/>
              <w:bottom w:val="single" w:sz="4" w:space="0" w:color="000000"/>
              <w:right w:val="single" w:sz="4" w:space="0" w:color="000000"/>
            </w:tcBorders>
            <w:hideMark/>
          </w:tcPr>
          <w:p w14:paraId="4A9C64F1"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Specialist in gender and masculinity</w:t>
            </w:r>
          </w:p>
        </w:tc>
        <w:tc>
          <w:tcPr>
            <w:tcW w:w="1008" w:type="dxa"/>
            <w:tcBorders>
              <w:top w:val="single" w:sz="4" w:space="0" w:color="000000"/>
              <w:left w:val="single" w:sz="4" w:space="0" w:color="000000"/>
              <w:bottom w:val="single" w:sz="4" w:space="0" w:color="000000"/>
              <w:right w:val="single" w:sz="4" w:space="0" w:color="000000"/>
            </w:tcBorders>
            <w:hideMark/>
          </w:tcPr>
          <w:p w14:paraId="6CD9495D" w14:textId="77777777" w:rsidR="00DD3961" w:rsidRDefault="00DD3961">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Ecuador</w:t>
            </w:r>
          </w:p>
        </w:tc>
      </w:tr>
    </w:tbl>
    <w:p w14:paraId="4B48676B"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p>
    <w:p w14:paraId="33B43EF3" w14:textId="77777777" w:rsidR="00DD3961" w:rsidRDefault="00DD3961" w:rsidP="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List of gender workshop participants in Colombia</w:t>
      </w:r>
    </w:p>
    <w:tbl>
      <w:tblPr>
        <w:tblW w:w="0" w:type="auto"/>
        <w:tblLayout w:type="fixed"/>
        <w:tblLook w:val="04A0" w:firstRow="1" w:lastRow="0" w:firstColumn="1" w:lastColumn="0" w:noHBand="0" w:noVBand="1"/>
      </w:tblPr>
      <w:tblGrid>
        <w:gridCol w:w="3227"/>
        <w:gridCol w:w="4840"/>
        <w:gridCol w:w="987"/>
      </w:tblGrid>
      <w:tr w:rsidR="00DD3961" w14:paraId="69C63E97" w14:textId="77777777" w:rsidTr="00DD3961">
        <w:tc>
          <w:tcPr>
            <w:tcW w:w="3227" w:type="dxa"/>
            <w:tcBorders>
              <w:top w:val="single" w:sz="4" w:space="0" w:color="000000"/>
              <w:left w:val="single" w:sz="4" w:space="0" w:color="000000"/>
              <w:bottom w:val="single" w:sz="4" w:space="0" w:color="000000"/>
              <w:right w:val="single" w:sz="4" w:space="0" w:color="000000"/>
            </w:tcBorders>
            <w:hideMark/>
          </w:tcPr>
          <w:p w14:paraId="24DFCA4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Name</w:t>
            </w:r>
          </w:p>
        </w:tc>
        <w:tc>
          <w:tcPr>
            <w:tcW w:w="4840" w:type="dxa"/>
            <w:tcBorders>
              <w:top w:val="single" w:sz="4" w:space="0" w:color="000000"/>
              <w:left w:val="single" w:sz="4" w:space="0" w:color="000000"/>
              <w:bottom w:val="single" w:sz="4" w:space="0" w:color="000000"/>
              <w:right w:val="single" w:sz="4" w:space="0" w:color="000000"/>
            </w:tcBorders>
            <w:hideMark/>
          </w:tcPr>
          <w:p w14:paraId="385F725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Institution</w:t>
            </w:r>
          </w:p>
        </w:tc>
        <w:tc>
          <w:tcPr>
            <w:tcW w:w="987" w:type="dxa"/>
            <w:tcBorders>
              <w:top w:val="single" w:sz="4" w:space="0" w:color="000000"/>
              <w:left w:val="single" w:sz="4" w:space="0" w:color="000000"/>
              <w:bottom w:val="single" w:sz="4" w:space="0" w:color="000000"/>
              <w:right w:val="single" w:sz="4" w:space="0" w:color="000000"/>
            </w:tcBorders>
            <w:hideMark/>
          </w:tcPr>
          <w:p w14:paraId="40B1383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0"/>
                <w:szCs w:val="20"/>
                <w:lang w:eastAsia="en-CA"/>
              </w:rPr>
              <w:t>Country</w:t>
            </w:r>
          </w:p>
        </w:tc>
      </w:tr>
      <w:tr w:rsidR="00DD3961" w14:paraId="62CA5DB6" w14:textId="77777777" w:rsidTr="00DD3961">
        <w:tc>
          <w:tcPr>
            <w:tcW w:w="3227" w:type="dxa"/>
            <w:tcBorders>
              <w:top w:val="single" w:sz="4" w:space="0" w:color="000000"/>
              <w:left w:val="single" w:sz="4" w:space="0" w:color="000000"/>
              <w:bottom w:val="single" w:sz="4" w:space="0" w:color="000000"/>
              <w:right w:val="single" w:sz="4" w:space="0" w:color="000000"/>
            </w:tcBorders>
            <w:hideMark/>
          </w:tcPr>
          <w:p w14:paraId="755C11E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Doris G </w:t>
            </w:r>
            <w:proofErr w:type="spellStart"/>
            <w:r>
              <w:rPr>
                <w:rFonts w:ascii="Calibri" w:eastAsia="Times New Roman" w:hAnsi="Calibri" w:cs="Calibri"/>
                <w:color w:val="000000"/>
                <w:sz w:val="20"/>
                <w:szCs w:val="20"/>
                <w:lang w:eastAsia="en-CA"/>
              </w:rPr>
              <w:t>Samudio</w:t>
            </w:r>
            <w:proofErr w:type="spellEnd"/>
          </w:p>
        </w:tc>
        <w:tc>
          <w:tcPr>
            <w:tcW w:w="4840" w:type="dxa"/>
            <w:tcBorders>
              <w:top w:val="single" w:sz="4" w:space="0" w:color="000000"/>
              <w:left w:val="single" w:sz="4" w:space="0" w:color="000000"/>
              <w:bottom w:val="single" w:sz="4" w:space="0" w:color="000000"/>
              <w:right w:val="single" w:sz="4" w:space="0" w:color="000000"/>
            </w:tcBorders>
            <w:hideMark/>
          </w:tcPr>
          <w:p w14:paraId="6828A09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Women's Municipal Board</w:t>
            </w:r>
          </w:p>
        </w:tc>
        <w:tc>
          <w:tcPr>
            <w:tcW w:w="987" w:type="dxa"/>
            <w:tcBorders>
              <w:top w:val="single" w:sz="4" w:space="0" w:color="000000"/>
              <w:left w:val="single" w:sz="4" w:space="0" w:color="000000"/>
              <w:bottom w:val="single" w:sz="4" w:space="0" w:color="000000"/>
              <w:right w:val="single" w:sz="4" w:space="0" w:color="000000"/>
            </w:tcBorders>
            <w:hideMark/>
          </w:tcPr>
          <w:p w14:paraId="79A5A57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306126BA" w14:textId="77777777" w:rsidTr="00DD3961">
        <w:trPr>
          <w:trHeight w:val="200"/>
        </w:trPr>
        <w:tc>
          <w:tcPr>
            <w:tcW w:w="3227" w:type="dxa"/>
            <w:tcBorders>
              <w:top w:val="single" w:sz="4" w:space="0" w:color="000000"/>
              <w:left w:val="single" w:sz="4" w:space="0" w:color="000000"/>
              <w:bottom w:val="single" w:sz="4" w:space="0" w:color="000000"/>
              <w:right w:val="single" w:sz="4" w:space="0" w:color="000000"/>
            </w:tcBorders>
            <w:vAlign w:val="bottom"/>
            <w:hideMark/>
          </w:tcPr>
          <w:p w14:paraId="0879FD0A"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Mayeli</w:t>
            </w:r>
            <w:proofErr w:type="spellEnd"/>
            <w:r>
              <w:rPr>
                <w:rFonts w:ascii="Calibri" w:eastAsia="Times New Roman" w:hAnsi="Calibri" w:cs="Calibri"/>
                <w:color w:val="000000"/>
                <w:sz w:val="20"/>
                <w:szCs w:val="20"/>
                <w:lang w:eastAsia="en-CA"/>
              </w:rPr>
              <w:t xml:space="preserve"> Muñoz </w:t>
            </w:r>
          </w:p>
        </w:tc>
        <w:tc>
          <w:tcPr>
            <w:tcW w:w="4840" w:type="dxa"/>
            <w:tcBorders>
              <w:top w:val="single" w:sz="4" w:space="0" w:color="000000"/>
              <w:left w:val="single" w:sz="4" w:space="0" w:color="000000"/>
              <w:bottom w:val="single" w:sz="4" w:space="0" w:color="000000"/>
              <w:right w:val="single" w:sz="4" w:space="0" w:color="000000"/>
            </w:tcBorders>
            <w:hideMark/>
          </w:tcPr>
          <w:p w14:paraId="4AED2E0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Women's Municipal Board</w:t>
            </w:r>
          </w:p>
        </w:tc>
        <w:tc>
          <w:tcPr>
            <w:tcW w:w="987" w:type="dxa"/>
            <w:tcBorders>
              <w:top w:val="single" w:sz="4" w:space="0" w:color="000000"/>
              <w:left w:val="single" w:sz="4" w:space="0" w:color="000000"/>
              <w:bottom w:val="single" w:sz="4" w:space="0" w:color="000000"/>
              <w:right w:val="single" w:sz="4" w:space="0" w:color="000000"/>
            </w:tcBorders>
            <w:hideMark/>
          </w:tcPr>
          <w:p w14:paraId="080B30F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76BCEBE4"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1A17889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Mireya Casanova </w:t>
            </w:r>
          </w:p>
        </w:tc>
        <w:tc>
          <w:tcPr>
            <w:tcW w:w="4840" w:type="dxa"/>
            <w:tcBorders>
              <w:top w:val="single" w:sz="4" w:space="0" w:color="000000"/>
              <w:left w:val="single" w:sz="4" w:space="0" w:color="000000"/>
              <w:bottom w:val="single" w:sz="4" w:space="0" w:color="000000"/>
              <w:right w:val="single" w:sz="4" w:space="0" w:color="000000"/>
            </w:tcBorders>
            <w:hideMark/>
          </w:tcPr>
          <w:p w14:paraId="13E096C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2A04019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6568E8AD"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48B2905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Adriana Chavez </w:t>
            </w:r>
          </w:p>
        </w:tc>
        <w:tc>
          <w:tcPr>
            <w:tcW w:w="4840" w:type="dxa"/>
            <w:tcBorders>
              <w:top w:val="single" w:sz="4" w:space="0" w:color="000000"/>
              <w:left w:val="single" w:sz="4" w:space="0" w:color="000000"/>
              <w:bottom w:val="single" w:sz="4" w:space="0" w:color="000000"/>
              <w:right w:val="single" w:sz="4" w:space="0" w:color="000000"/>
            </w:tcBorders>
            <w:hideMark/>
          </w:tcPr>
          <w:p w14:paraId="05579BC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0D0073D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516775C2"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04B3326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Beatriz Obando </w:t>
            </w:r>
          </w:p>
        </w:tc>
        <w:tc>
          <w:tcPr>
            <w:tcW w:w="4840" w:type="dxa"/>
            <w:tcBorders>
              <w:top w:val="single" w:sz="4" w:space="0" w:color="000000"/>
              <w:left w:val="single" w:sz="4" w:space="0" w:color="000000"/>
              <w:bottom w:val="single" w:sz="4" w:space="0" w:color="000000"/>
              <w:right w:val="single" w:sz="4" w:space="0" w:color="000000"/>
            </w:tcBorders>
            <w:hideMark/>
          </w:tcPr>
          <w:p w14:paraId="69A269E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16C652E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625DE629"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091D6766"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Dioneida</w:t>
            </w:r>
            <w:proofErr w:type="spellEnd"/>
            <w:r>
              <w:rPr>
                <w:rFonts w:ascii="Calibri" w:eastAsia="Times New Roman" w:hAnsi="Calibri" w:cs="Calibri"/>
                <w:color w:val="000000"/>
                <w:sz w:val="20"/>
                <w:szCs w:val="20"/>
                <w:lang w:eastAsia="en-CA"/>
              </w:rPr>
              <w:t xml:space="preserve"> Melendez </w:t>
            </w:r>
          </w:p>
        </w:tc>
        <w:tc>
          <w:tcPr>
            <w:tcW w:w="4840" w:type="dxa"/>
            <w:tcBorders>
              <w:top w:val="single" w:sz="4" w:space="0" w:color="000000"/>
              <w:left w:val="single" w:sz="4" w:space="0" w:color="000000"/>
              <w:bottom w:val="single" w:sz="4" w:space="0" w:color="000000"/>
              <w:right w:val="single" w:sz="4" w:space="0" w:color="000000"/>
            </w:tcBorders>
            <w:hideMark/>
          </w:tcPr>
          <w:p w14:paraId="4814785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w:t>
            </w:r>
          </w:p>
        </w:tc>
        <w:tc>
          <w:tcPr>
            <w:tcW w:w="987" w:type="dxa"/>
            <w:tcBorders>
              <w:top w:val="single" w:sz="4" w:space="0" w:color="000000"/>
              <w:left w:val="single" w:sz="4" w:space="0" w:color="000000"/>
              <w:bottom w:val="single" w:sz="4" w:space="0" w:color="000000"/>
              <w:right w:val="single" w:sz="4" w:space="0" w:color="000000"/>
            </w:tcBorders>
            <w:hideMark/>
          </w:tcPr>
          <w:p w14:paraId="5458811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25BFC747"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4753AEAD"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Yolita</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Canamejoy</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hideMark/>
          </w:tcPr>
          <w:p w14:paraId="7060FF62"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BureauMunicipal</w:t>
            </w:r>
            <w:proofErr w:type="spellEnd"/>
            <w:r>
              <w:rPr>
                <w:rFonts w:ascii="Calibri" w:eastAsia="Times New Roman" w:hAnsi="Calibri" w:cs="Calibri"/>
                <w:color w:val="000000"/>
                <w:sz w:val="20"/>
                <w:szCs w:val="20"/>
                <w:lang w:eastAsia="en-CA"/>
              </w:rPr>
              <w:t xml:space="preserve"> Women's Table of </w:t>
            </w:r>
            <w:proofErr w:type="spellStart"/>
            <w:r>
              <w:rPr>
                <w:rFonts w:ascii="Calibri" w:eastAsia="Times New Roman" w:hAnsi="Calibri" w:cs="Calibri"/>
                <w:color w:val="000000"/>
                <w:sz w:val="20"/>
                <w:szCs w:val="20"/>
                <w:lang w:eastAsia="en-CA"/>
              </w:rPr>
              <w:t>Policarpa</w:t>
            </w:r>
            <w:proofErr w:type="spellEnd"/>
          </w:p>
        </w:tc>
        <w:tc>
          <w:tcPr>
            <w:tcW w:w="987" w:type="dxa"/>
            <w:tcBorders>
              <w:top w:val="single" w:sz="4" w:space="0" w:color="000000"/>
              <w:left w:val="single" w:sz="4" w:space="0" w:color="000000"/>
              <w:bottom w:val="single" w:sz="4" w:space="0" w:color="000000"/>
              <w:right w:val="single" w:sz="4" w:space="0" w:color="000000"/>
            </w:tcBorders>
            <w:hideMark/>
          </w:tcPr>
          <w:p w14:paraId="543238F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563769BB"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494CB21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María </w:t>
            </w:r>
            <w:proofErr w:type="spellStart"/>
            <w:r>
              <w:rPr>
                <w:rFonts w:ascii="Calibri" w:eastAsia="Times New Roman" w:hAnsi="Calibri" w:cs="Calibri"/>
                <w:color w:val="000000"/>
                <w:sz w:val="20"/>
                <w:szCs w:val="20"/>
                <w:lang w:eastAsia="en-CA"/>
              </w:rPr>
              <w:t>Pastora</w:t>
            </w:r>
            <w:proofErr w:type="spellEnd"/>
            <w:r>
              <w:rPr>
                <w:rFonts w:ascii="Calibri" w:eastAsia="Times New Roman" w:hAnsi="Calibri" w:cs="Calibri"/>
                <w:color w:val="000000"/>
                <w:sz w:val="20"/>
                <w:szCs w:val="20"/>
                <w:lang w:eastAsia="en-CA"/>
              </w:rPr>
              <w:t xml:space="preserve"> Maya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1E58877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45512CFB"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10B84ED8"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26E00EE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Alejandra </w:t>
            </w:r>
            <w:proofErr w:type="spellStart"/>
            <w:r>
              <w:rPr>
                <w:rFonts w:ascii="Calibri" w:eastAsia="Times New Roman" w:hAnsi="Calibri" w:cs="Calibri"/>
                <w:color w:val="000000"/>
                <w:sz w:val="20"/>
                <w:szCs w:val="20"/>
                <w:lang w:eastAsia="en-CA"/>
              </w:rPr>
              <w:t>ZamudioDays</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7CA8002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Independent</w:t>
            </w:r>
          </w:p>
        </w:tc>
        <w:tc>
          <w:tcPr>
            <w:tcW w:w="987" w:type="dxa"/>
            <w:tcBorders>
              <w:top w:val="single" w:sz="4" w:space="0" w:color="000000"/>
              <w:left w:val="single" w:sz="4" w:space="0" w:color="000000"/>
              <w:bottom w:val="single" w:sz="4" w:space="0" w:color="000000"/>
              <w:right w:val="single" w:sz="4" w:space="0" w:color="000000"/>
            </w:tcBorders>
            <w:hideMark/>
          </w:tcPr>
          <w:p w14:paraId="541A519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5A0DDC44"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09B5712A"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Nurla</w:t>
            </w:r>
            <w:proofErr w:type="spellEnd"/>
            <w:r>
              <w:rPr>
                <w:rFonts w:ascii="Calibri" w:eastAsia="Times New Roman" w:hAnsi="Calibri" w:cs="Calibri"/>
                <w:color w:val="000000"/>
                <w:sz w:val="20"/>
                <w:szCs w:val="20"/>
                <w:lang w:eastAsia="en-CA"/>
              </w:rPr>
              <w:t xml:space="preserve"> Díaz T</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10C310A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2663B46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6C6D77CC"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60C803A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Claudia M Benavides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74410D88"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Municipal Women's Bureau of </w:t>
            </w:r>
            <w:proofErr w:type="spellStart"/>
            <w:r>
              <w:rPr>
                <w:rFonts w:ascii="Calibri" w:eastAsia="Times New Roman" w:hAnsi="Calibri" w:cs="Calibri"/>
                <w:color w:val="000000"/>
                <w:sz w:val="20"/>
                <w:szCs w:val="20"/>
                <w:lang w:eastAsia="en-CA"/>
              </w:rPr>
              <w:t>Policarpa</w:t>
            </w:r>
            <w:proofErr w:type="spellEnd"/>
            <w:r>
              <w:rPr>
                <w:rFonts w:ascii="Calibri" w:eastAsia="Times New Roman" w:hAnsi="Calibri" w:cs="Calibri"/>
                <w:color w:val="000000"/>
                <w:sz w:val="20"/>
                <w:szCs w:val="20"/>
                <w:lang w:eastAsia="en-CA"/>
              </w:rPr>
              <w:t xml:space="preserve"> </w:t>
            </w:r>
          </w:p>
        </w:tc>
        <w:tc>
          <w:tcPr>
            <w:tcW w:w="987" w:type="dxa"/>
            <w:tcBorders>
              <w:top w:val="single" w:sz="4" w:space="0" w:color="000000"/>
              <w:left w:val="single" w:sz="4" w:space="0" w:color="000000"/>
              <w:bottom w:val="single" w:sz="4" w:space="0" w:color="000000"/>
              <w:right w:val="single" w:sz="4" w:space="0" w:color="000000"/>
            </w:tcBorders>
            <w:hideMark/>
          </w:tcPr>
          <w:p w14:paraId="7EB121E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49363B72"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3E99BCD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Carmen Amanda </w:t>
            </w:r>
            <w:proofErr w:type="spellStart"/>
            <w:r>
              <w:rPr>
                <w:rFonts w:ascii="Calibri" w:eastAsia="Times New Roman" w:hAnsi="Calibri" w:cs="Calibri"/>
                <w:color w:val="000000"/>
                <w:sz w:val="20"/>
                <w:szCs w:val="20"/>
                <w:lang w:eastAsia="en-CA"/>
              </w:rPr>
              <w:t>Salquer</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2AEDE44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Municipal Women's Bureau of </w:t>
            </w:r>
            <w:proofErr w:type="spellStart"/>
            <w:r>
              <w:rPr>
                <w:rFonts w:ascii="Calibri" w:eastAsia="Times New Roman" w:hAnsi="Calibri" w:cs="Calibri"/>
                <w:color w:val="000000"/>
                <w:sz w:val="20"/>
                <w:szCs w:val="20"/>
                <w:lang w:eastAsia="en-CA"/>
              </w:rPr>
              <w:t>Policarpa</w:t>
            </w:r>
            <w:proofErr w:type="spellEnd"/>
            <w:r>
              <w:rPr>
                <w:rFonts w:ascii="Calibri" w:eastAsia="Times New Roman" w:hAnsi="Calibri" w:cs="Calibri"/>
                <w:color w:val="000000"/>
                <w:sz w:val="20"/>
                <w:szCs w:val="20"/>
                <w:lang w:eastAsia="en-CA"/>
              </w:rPr>
              <w:t xml:space="preserve"> </w:t>
            </w:r>
          </w:p>
        </w:tc>
        <w:tc>
          <w:tcPr>
            <w:tcW w:w="987" w:type="dxa"/>
            <w:tcBorders>
              <w:top w:val="single" w:sz="4" w:space="0" w:color="000000"/>
              <w:left w:val="single" w:sz="4" w:space="0" w:color="000000"/>
              <w:bottom w:val="single" w:sz="4" w:space="0" w:color="000000"/>
              <w:right w:val="single" w:sz="4" w:space="0" w:color="000000"/>
            </w:tcBorders>
            <w:hideMark/>
          </w:tcPr>
          <w:p w14:paraId="035AB09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6485DA30"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4093580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Marry Velasco. S</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6FA5200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Municipal Women's Bureau of </w:t>
            </w:r>
            <w:proofErr w:type="spellStart"/>
            <w:r>
              <w:rPr>
                <w:rFonts w:ascii="Calibri" w:eastAsia="Times New Roman" w:hAnsi="Calibri" w:cs="Calibri"/>
                <w:color w:val="000000"/>
                <w:sz w:val="20"/>
                <w:szCs w:val="20"/>
                <w:lang w:eastAsia="en-CA"/>
              </w:rPr>
              <w:t>Policarpa</w:t>
            </w:r>
            <w:proofErr w:type="spellEnd"/>
            <w:r>
              <w:rPr>
                <w:rFonts w:ascii="Calibri" w:eastAsia="Times New Roman" w:hAnsi="Calibri" w:cs="Calibri"/>
                <w:color w:val="000000"/>
                <w:sz w:val="20"/>
                <w:szCs w:val="20"/>
                <w:lang w:eastAsia="en-CA"/>
              </w:rPr>
              <w:t xml:space="preserve"> </w:t>
            </w:r>
          </w:p>
        </w:tc>
        <w:tc>
          <w:tcPr>
            <w:tcW w:w="987" w:type="dxa"/>
            <w:tcBorders>
              <w:top w:val="single" w:sz="4" w:space="0" w:color="000000"/>
              <w:left w:val="single" w:sz="4" w:space="0" w:color="000000"/>
              <w:bottom w:val="single" w:sz="4" w:space="0" w:color="000000"/>
              <w:right w:val="single" w:sz="4" w:space="0" w:color="000000"/>
            </w:tcBorders>
            <w:hideMark/>
          </w:tcPr>
          <w:p w14:paraId="2CCA35F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60CC75BA"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7E1054E0"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Adiela</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Bastidas</w:t>
            </w:r>
            <w:proofErr w:type="spellEnd"/>
            <w:r>
              <w:rPr>
                <w:rFonts w:ascii="Calibri" w:eastAsia="Times New Roman" w:hAnsi="Calibri" w:cs="Calibri"/>
                <w:color w:val="000000"/>
                <w:sz w:val="20"/>
                <w:szCs w:val="20"/>
                <w:lang w:eastAsia="en-CA"/>
              </w:rPr>
              <w:t xml:space="preserve"> C</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539515BA"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196F604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5B5E26EA"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1ECD51CA" w14:textId="77777777" w:rsidR="00DD3961" w:rsidRDefault="00DD3961">
            <w:pPr>
              <w:spacing w:after="0" w:line="240" w:lineRule="auto"/>
              <w:jc w:val="both"/>
              <w:rPr>
                <w:rFonts w:ascii="Times New Roman" w:eastAsia="Times New Roman" w:hAnsi="Times New Roman" w:cs="Times New Roman"/>
                <w:sz w:val="24"/>
                <w:szCs w:val="24"/>
                <w:lang w:eastAsia="en-CA"/>
              </w:rPr>
            </w:pPr>
            <w:proofErr w:type="spellStart"/>
            <w:r>
              <w:rPr>
                <w:rFonts w:ascii="Calibri" w:eastAsia="Times New Roman" w:hAnsi="Calibri" w:cs="Calibri"/>
                <w:color w:val="000000"/>
                <w:sz w:val="20"/>
                <w:szCs w:val="20"/>
                <w:lang w:eastAsia="en-CA"/>
              </w:rPr>
              <w:t>Liseth</w:t>
            </w:r>
            <w:proofErr w:type="spellEnd"/>
            <w:r>
              <w:rPr>
                <w:rFonts w:ascii="Calibri" w:eastAsia="Times New Roman" w:hAnsi="Calibri" w:cs="Calibri"/>
                <w:color w:val="000000"/>
                <w:sz w:val="20"/>
                <w:szCs w:val="20"/>
                <w:lang w:eastAsia="en-CA"/>
              </w:rPr>
              <w:t xml:space="preserve"> Melo </w:t>
            </w:r>
            <w:proofErr w:type="spellStart"/>
            <w:r>
              <w:rPr>
                <w:rFonts w:ascii="Calibri" w:eastAsia="Times New Roman" w:hAnsi="Calibri" w:cs="Calibri"/>
                <w:color w:val="000000"/>
                <w:sz w:val="20"/>
                <w:szCs w:val="20"/>
                <w:lang w:eastAsia="en-CA"/>
              </w:rPr>
              <w:t>leiton</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45C7777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103EFC3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36671F07"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4607B88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Esperanza Melo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313FAF06"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732A3CB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7BDE9A96"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2D1E296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Luz Amparo Narvaez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7926664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512E64D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45CFA7D0"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25DD659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Maria Zoila </w:t>
            </w:r>
            <w:proofErr w:type="spellStart"/>
            <w:r>
              <w:rPr>
                <w:rFonts w:ascii="Calibri" w:eastAsia="Times New Roman" w:hAnsi="Calibri" w:cs="Calibri"/>
                <w:color w:val="000000"/>
                <w:sz w:val="20"/>
                <w:szCs w:val="20"/>
                <w:lang w:eastAsia="en-CA"/>
              </w:rPr>
              <w:t>Urbano</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398EA69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Women's Municipal Board</w:t>
            </w:r>
          </w:p>
        </w:tc>
        <w:tc>
          <w:tcPr>
            <w:tcW w:w="987" w:type="dxa"/>
            <w:tcBorders>
              <w:top w:val="single" w:sz="4" w:space="0" w:color="000000"/>
              <w:left w:val="single" w:sz="4" w:space="0" w:color="000000"/>
              <w:bottom w:val="single" w:sz="4" w:space="0" w:color="000000"/>
              <w:right w:val="single" w:sz="4" w:space="0" w:color="000000"/>
            </w:tcBorders>
            <w:hideMark/>
          </w:tcPr>
          <w:p w14:paraId="309B030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49D3DA50"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4A65BDF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Ana Etelvina Cabrera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3C3579A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6A89F6F4"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1A4CB1F0"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5F6B099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Maria </w:t>
            </w:r>
            <w:proofErr w:type="spellStart"/>
            <w:r>
              <w:rPr>
                <w:rFonts w:ascii="Calibri" w:eastAsia="Times New Roman" w:hAnsi="Calibri" w:cs="Calibri"/>
                <w:color w:val="000000"/>
                <w:sz w:val="20"/>
                <w:szCs w:val="20"/>
                <w:lang w:eastAsia="en-CA"/>
              </w:rPr>
              <w:t>Visitacion</w:t>
            </w:r>
            <w:proofErr w:type="spellEnd"/>
            <w:r>
              <w:rPr>
                <w:rFonts w:ascii="Calibri" w:eastAsia="Times New Roman" w:hAnsi="Calibri" w:cs="Calibri"/>
                <w:color w:val="000000"/>
                <w:sz w:val="20"/>
                <w:szCs w:val="20"/>
                <w:lang w:eastAsia="en-CA"/>
              </w:rPr>
              <w:t xml:space="preserve"> Melo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285B366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4E43CE43"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4B8445AA"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0B53169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Aura Miriam </w:t>
            </w:r>
            <w:proofErr w:type="spellStart"/>
            <w:r>
              <w:rPr>
                <w:rFonts w:ascii="Calibri" w:eastAsia="Times New Roman" w:hAnsi="Calibri" w:cs="Calibri"/>
                <w:color w:val="000000"/>
                <w:sz w:val="20"/>
                <w:szCs w:val="20"/>
                <w:lang w:eastAsia="en-CA"/>
              </w:rPr>
              <w:t>Carera</w:t>
            </w:r>
            <w:proofErr w:type="spellEnd"/>
            <w:r>
              <w:rPr>
                <w:rFonts w:ascii="Calibri" w:eastAsia="Times New Roman" w:hAnsi="Calibri" w:cs="Calibri"/>
                <w:color w:val="000000"/>
                <w:sz w:val="20"/>
                <w:szCs w:val="20"/>
                <w:lang w:eastAsia="en-CA"/>
              </w:rPr>
              <w:t xml:space="preserve"> B</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0D97310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7C40583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0CC23DCD"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2C7159F5"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Karol </w:t>
            </w:r>
            <w:proofErr w:type="spellStart"/>
            <w:r>
              <w:rPr>
                <w:rFonts w:ascii="Calibri" w:eastAsia="Times New Roman" w:hAnsi="Calibri" w:cs="Calibri"/>
                <w:color w:val="000000"/>
                <w:sz w:val="20"/>
                <w:szCs w:val="20"/>
                <w:lang w:eastAsia="en-CA"/>
              </w:rPr>
              <w:t>Caicedo</w:t>
            </w:r>
            <w:proofErr w:type="spellEnd"/>
            <w:r>
              <w:rPr>
                <w:rFonts w:ascii="Calibri" w:eastAsia="Times New Roman" w:hAnsi="Calibri" w:cs="Calibri"/>
                <w:color w:val="000000"/>
                <w:sz w:val="20"/>
                <w:szCs w:val="20"/>
                <w:lang w:eastAsia="en-CA"/>
              </w:rPr>
              <w:t xml:space="preserve"> </w:t>
            </w:r>
            <w:proofErr w:type="spellStart"/>
            <w:r>
              <w:rPr>
                <w:rFonts w:ascii="Calibri" w:eastAsia="Times New Roman" w:hAnsi="Calibri" w:cs="Calibri"/>
                <w:color w:val="000000"/>
                <w:sz w:val="20"/>
                <w:szCs w:val="20"/>
                <w:lang w:eastAsia="en-CA"/>
              </w:rPr>
              <w:t>Egas</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1394E59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5239C18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2816B9E1"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12C9883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Karen </w:t>
            </w:r>
            <w:proofErr w:type="spellStart"/>
            <w:r>
              <w:rPr>
                <w:rFonts w:ascii="Calibri" w:eastAsia="Times New Roman" w:hAnsi="Calibri" w:cs="Calibri"/>
                <w:color w:val="000000"/>
                <w:sz w:val="20"/>
                <w:szCs w:val="20"/>
                <w:lang w:eastAsia="en-CA"/>
              </w:rPr>
              <w:t>Nayely</w:t>
            </w:r>
            <w:proofErr w:type="spellEnd"/>
            <w:r>
              <w:rPr>
                <w:rFonts w:ascii="Calibri" w:eastAsia="Times New Roman" w:hAnsi="Calibri" w:cs="Calibri"/>
                <w:color w:val="000000"/>
                <w:sz w:val="20"/>
                <w:szCs w:val="20"/>
                <w:lang w:eastAsia="en-CA"/>
              </w:rPr>
              <w:t xml:space="preserve"> Jimenez P</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587B55EF"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Women's Bureau</w:t>
            </w:r>
          </w:p>
        </w:tc>
        <w:tc>
          <w:tcPr>
            <w:tcW w:w="987" w:type="dxa"/>
            <w:tcBorders>
              <w:top w:val="single" w:sz="4" w:space="0" w:color="000000"/>
              <w:left w:val="single" w:sz="4" w:space="0" w:color="000000"/>
              <w:bottom w:val="single" w:sz="4" w:space="0" w:color="000000"/>
              <w:right w:val="single" w:sz="4" w:space="0" w:color="000000"/>
            </w:tcBorders>
            <w:hideMark/>
          </w:tcPr>
          <w:p w14:paraId="0E9C9542"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25878D6A"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0AE5A95C"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Luisa Palacios</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279EDFE0"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Municipal Mayor</w:t>
            </w:r>
          </w:p>
        </w:tc>
        <w:tc>
          <w:tcPr>
            <w:tcW w:w="987" w:type="dxa"/>
            <w:tcBorders>
              <w:top w:val="single" w:sz="4" w:space="0" w:color="000000"/>
              <w:left w:val="single" w:sz="4" w:space="0" w:color="000000"/>
              <w:bottom w:val="single" w:sz="4" w:space="0" w:color="000000"/>
              <w:right w:val="single" w:sz="4" w:space="0" w:color="000000"/>
            </w:tcBorders>
            <w:hideMark/>
          </w:tcPr>
          <w:p w14:paraId="14FF69B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4B2FB39C"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5C48DF9E"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Diana Hidalgo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72B78E81"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UN Women </w:t>
            </w:r>
          </w:p>
        </w:tc>
        <w:tc>
          <w:tcPr>
            <w:tcW w:w="987" w:type="dxa"/>
            <w:tcBorders>
              <w:top w:val="single" w:sz="4" w:space="0" w:color="000000"/>
              <w:left w:val="single" w:sz="4" w:space="0" w:color="000000"/>
              <w:bottom w:val="single" w:sz="4" w:space="0" w:color="000000"/>
              <w:right w:val="single" w:sz="4" w:space="0" w:color="000000"/>
            </w:tcBorders>
            <w:hideMark/>
          </w:tcPr>
          <w:p w14:paraId="06E2F077"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r w:rsidR="00DD3961" w14:paraId="5C01C603" w14:textId="77777777" w:rsidTr="00DD3961">
        <w:tc>
          <w:tcPr>
            <w:tcW w:w="3227" w:type="dxa"/>
            <w:tcBorders>
              <w:top w:val="single" w:sz="4" w:space="0" w:color="000000"/>
              <w:left w:val="single" w:sz="4" w:space="0" w:color="000000"/>
              <w:bottom w:val="single" w:sz="4" w:space="0" w:color="000000"/>
              <w:right w:val="single" w:sz="4" w:space="0" w:color="000000"/>
            </w:tcBorders>
            <w:vAlign w:val="bottom"/>
            <w:hideMark/>
          </w:tcPr>
          <w:p w14:paraId="000A523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Andrea </w:t>
            </w:r>
            <w:proofErr w:type="spellStart"/>
            <w:r>
              <w:rPr>
                <w:rFonts w:ascii="Calibri" w:eastAsia="Times New Roman" w:hAnsi="Calibri" w:cs="Calibri"/>
                <w:color w:val="000000"/>
                <w:sz w:val="20"/>
                <w:szCs w:val="20"/>
                <w:lang w:eastAsia="en-CA"/>
              </w:rPr>
              <w:t>Riascos</w:t>
            </w:r>
            <w:proofErr w:type="spellEnd"/>
            <w:r>
              <w:rPr>
                <w:rFonts w:ascii="Calibri" w:eastAsia="Times New Roman" w:hAnsi="Calibri" w:cs="Calibri"/>
                <w:color w:val="000000"/>
                <w:sz w:val="20"/>
                <w:szCs w:val="20"/>
                <w:lang w:eastAsia="en-CA"/>
              </w:rPr>
              <w:t xml:space="preserve"> </w:t>
            </w:r>
          </w:p>
        </w:tc>
        <w:tc>
          <w:tcPr>
            <w:tcW w:w="4840" w:type="dxa"/>
            <w:tcBorders>
              <w:top w:val="single" w:sz="4" w:space="0" w:color="000000"/>
              <w:left w:val="single" w:sz="4" w:space="0" w:color="000000"/>
              <w:bottom w:val="single" w:sz="4" w:space="0" w:color="000000"/>
              <w:right w:val="single" w:sz="4" w:space="0" w:color="000000"/>
            </w:tcBorders>
            <w:vAlign w:val="bottom"/>
            <w:hideMark/>
          </w:tcPr>
          <w:p w14:paraId="2701136D"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Corporation March 8, </w:t>
            </w:r>
          </w:p>
        </w:tc>
        <w:tc>
          <w:tcPr>
            <w:tcW w:w="987" w:type="dxa"/>
            <w:tcBorders>
              <w:top w:val="single" w:sz="4" w:space="0" w:color="000000"/>
              <w:left w:val="single" w:sz="4" w:space="0" w:color="000000"/>
              <w:bottom w:val="single" w:sz="4" w:space="0" w:color="000000"/>
              <w:right w:val="single" w:sz="4" w:space="0" w:color="000000"/>
            </w:tcBorders>
            <w:hideMark/>
          </w:tcPr>
          <w:p w14:paraId="6F52F159" w14:textId="77777777" w:rsidR="00DD3961" w:rsidRDefault="00DD3961">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color w:val="000000"/>
                <w:sz w:val="20"/>
                <w:szCs w:val="20"/>
                <w:lang w:eastAsia="en-CA"/>
              </w:rPr>
              <w:t xml:space="preserve">Colombia </w:t>
            </w:r>
          </w:p>
        </w:tc>
      </w:tr>
    </w:tbl>
    <w:p w14:paraId="4B164378" w14:textId="77777777" w:rsidR="00DD3961" w:rsidRDefault="00DD3961" w:rsidP="00DD3961">
      <w:pPr>
        <w:spacing w:after="0" w:line="240" w:lineRule="auto"/>
        <w:rPr>
          <w:rFonts w:ascii="Calibri" w:eastAsia="Times New Roman" w:hAnsi="Calibri" w:cs="Calibri"/>
          <w:color w:val="000000"/>
          <w:sz w:val="24"/>
          <w:szCs w:val="24"/>
          <w:lang w:eastAsia="en-CA"/>
        </w:rPr>
      </w:pPr>
    </w:p>
    <w:p w14:paraId="30273F64" w14:textId="77777777" w:rsidR="00DD3961" w:rsidRDefault="00DD3961" w:rsidP="00DD3961">
      <w:pPr>
        <w:spacing w:after="0" w:line="240" w:lineRule="auto"/>
        <w:rPr>
          <w:rFonts w:ascii="Times New Roman" w:eastAsia="Times New Roman" w:hAnsi="Times New Roman" w:cs="Times New Roman"/>
          <w:sz w:val="24"/>
          <w:szCs w:val="24"/>
          <w:lang w:eastAsia="en-CA"/>
        </w:rPr>
      </w:pPr>
    </w:p>
    <w:p w14:paraId="6CB7AF46" w14:textId="77777777" w:rsidR="00DD3961" w:rsidRDefault="00DD3961" w:rsidP="00DD3961">
      <w:pPr>
        <w:spacing w:after="0" w:line="240" w:lineRule="auto"/>
        <w:rPr>
          <w:rFonts w:ascii="Times New Roman" w:eastAsia="Times New Roman" w:hAnsi="Times New Roman" w:cs="Times New Roman"/>
          <w:sz w:val="24"/>
          <w:szCs w:val="24"/>
          <w:lang w:eastAsia="en-CA"/>
        </w:rPr>
      </w:pPr>
    </w:p>
    <w:p w14:paraId="48CC9737" w14:textId="50D88033" w:rsidR="007C5D33" w:rsidRPr="00967C9B" w:rsidRDefault="00871936" w:rsidP="007C5D33">
      <w:pPr>
        <w:spacing w:after="0" w:line="240" w:lineRule="auto"/>
        <w:jc w:val="both"/>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p>
    <w:p w14:paraId="2EB5D64E" w14:textId="10E39A50" w:rsidR="00141070" w:rsidRPr="00967C9B" w:rsidRDefault="00141070" w:rsidP="00141070">
      <w:pPr>
        <w:spacing w:after="240" w:line="240" w:lineRule="auto"/>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p>
    <w:p w14:paraId="10EB3140" w14:textId="3101DFC3" w:rsidR="00141070" w:rsidRPr="00967C9B" w:rsidRDefault="003C0C0C" w:rsidP="00141070">
      <w:pPr>
        <w:spacing w:after="0" w:line="240" w:lineRule="auto"/>
        <w:jc w:val="center"/>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8"/>
          <w:szCs w:val="28"/>
          <w:lang w:eastAsia="en-CA"/>
        </w:rPr>
        <w:t>G</w:t>
      </w:r>
      <w:r w:rsidR="00141070" w:rsidRPr="00967C9B">
        <w:rPr>
          <w:rFonts w:ascii="Calibri" w:eastAsia="Times New Roman" w:hAnsi="Calibri" w:cs="Calibri"/>
          <w:b/>
          <w:bCs/>
          <w:color w:val="000000"/>
          <w:sz w:val="28"/>
          <w:szCs w:val="28"/>
          <w:lang w:eastAsia="en-CA"/>
        </w:rPr>
        <w:t xml:space="preserve">ender </w:t>
      </w:r>
      <w:r w:rsidR="0011053F" w:rsidRPr="00967C9B">
        <w:rPr>
          <w:rFonts w:ascii="Calibri" w:eastAsia="Times New Roman" w:hAnsi="Calibri" w:cs="Calibri"/>
          <w:b/>
          <w:bCs/>
          <w:color w:val="000000"/>
          <w:sz w:val="28"/>
          <w:szCs w:val="28"/>
          <w:lang w:eastAsia="en-CA"/>
        </w:rPr>
        <w:t xml:space="preserve">Action </w:t>
      </w:r>
      <w:r w:rsidRPr="00967C9B">
        <w:rPr>
          <w:rFonts w:ascii="Calibri" w:eastAsia="Times New Roman" w:hAnsi="Calibri" w:cs="Calibri"/>
          <w:b/>
          <w:bCs/>
          <w:color w:val="000000"/>
          <w:sz w:val="28"/>
          <w:szCs w:val="28"/>
          <w:lang w:eastAsia="en-CA"/>
        </w:rPr>
        <w:t>Plan</w:t>
      </w:r>
    </w:p>
    <w:p w14:paraId="29CD1F98" w14:textId="304CC631" w:rsidR="00141070" w:rsidRPr="00967C9B" w:rsidRDefault="00141070" w:rsidP="00141070">
      <w:pPr>
        <w:spacing w:after="240" w:line="240" w:lineRule="auto"/>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p>
    <w:p w14:paraId="3D41DEAA" w14:textId="77777777" w:rsidR="00141070" w:rsidRPr="00967C9B" w:rsidRDefault="00141070" w:rsidP="00141070">
      <w:pPr>
        <w:spacing w:after="0" w:line="240" w:lineRule="auto"/>
        <w:jc w:val="right"/>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4"/>
          <w:szCs w:val="24"/>
          <w:lang w:eastAsia="en-CA"/>
        </w:rPr>
        <w:t xml:space="preserve">Aracely </w:t>
      </w:r>
      <w:proofErr w:type="spellStart"/>
      <w:r w:rsidRPr="00967C9B">
        <w:rPr>
          <w:rFonts w:ascii="Calibri" w:eastAsia="Times New Roman" w:hAnsi="Calibri" w:cs="Calibri"/>
          <w:color w:val="000000"/>
          <w:sz w:val="24"/>
          <w:szCs w:val="24"/>
          <w:lang w:eastAsia="en-CA"/>
        </w:rPr>
        <w:t>Pazmiño</w:t>
      </w:r>
      <w:proofErr w:type="spellEnd"/>
      <w:r w:rsidRPr="00967C9B">
        <w:rPr>
          <w:rFonts w:ascii="Calibri" w:eastAsia="Times New Roman" w:hAnsi="Calibri" w:cs="Calibri"/>
          <w:color w:val="000000"/>
          <w:sz w:val="24"/>
          <w:szCs w:val="24"/>
          <w:lang w:eastAsia="en-CA"/>
        </w:rPr>
        <w:t xml:space="preserve"> Montero</w:t>
      </w:r>
    </w:p>
    <w:p w14:paraId="2307EE6F" w14:textId="084AB2C5" w:rsidR="00141070" w:rsidRPr="00967C9B" w:rsidRDefault="00967C9B" w:rsidP="00141070">
      <w:pPr>
        <w:spacing w:after="0" w:line="240" w:lineRule="auto"/>
        <w:jc w:val="right"/>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4"/>
          <w:szCs w:val="24"/>
          <w:lang w:eastAsia="en-CA"/>
        </w:rPr>
        <w:t>April</w:t>
      </w:r>
      <w:r w:rsidR="00141070" w:rsidRPr="00967C9B">
        <w:rPr>
          <w:rFonts w:ascii="Calibri" w:eastAsia="Times New Roman" w:hAnsi="Calibri" w:cs="Calibri"/>
          <w:color w:val="000000"/>
          <w:sz w:val="24"/>
          <w:szCs w:val="24"/>
          <w:lang w:eastAsia="en-CA"/>
        </w:rPr>
        <w:t xml:space="preserve"> 2019</w:t>
      </w:r>
    </w:p>
    <w:p w14:paraId="0252E787" w14:textId="1580EFA6" w:rsidR="00141070" w:rsidRPr="00967C9B" w:rsidRDefault="00141070" w:rsidP="00141070">
      <w:pPr>
        <w:spacing w:after="240" w:line="240" w:lineRule="auto"/>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p>
    <w:p w14:paraId="4188D94B" w14:textId="38B42912" w:rsidR="00141070" w:rsidRPr="00967C9B" w:rsidRDefault="000272B5" w:rsidP="00141070">
      <w:pPr>
        <w:spacing w:before="480" w:after="0" w:line="240" w:lineRule="auto"/>
        <w:jc w:val="center"/>
        <w:rPr>
          <w:rFonts w:ascii="Calibri" w:eastAsia="Times New Roman" w:hAnsi="Calibri" w:cs="Calibri"/>
          <w:b/>
          <w:bCs/>
          <w:color w:val="000000"/>
          <w:sz w:val="24"/>
          <w:szCs w:val="24"/>
          <w:lang w:eastAsia="en-CA"/>
        </w:rPr>
      </w:pPr>
      <w:r w:rsidRPr="00967C9B">
        <w:rPr>
          <w:rFonts w:ascii="Calibri" w:eastAsia="Times New Roman" w:hAnsi="Calibri" w:cs="Calibri"/>
          <w:b/>
          <w:bCs/>
          <w:color w:val="000000"/>
          <w:sz w:val="24"/>
          <w:szCs w:val="24"/>
          <w:lang w:eastAsia="en-CA"/>
        </w:rPr>
        <w:t>C</w:t>
      </w:r>
      <w:r w:rsidR="00141070" w:rsidRPr="00967C9B">
        <w:rPr>
          <w:rFonts w:ascii="Calibri" w:eastAsia="Times New Roman" w:hAnsi="Calibri" w:cs="Calibri"/>
          <w:b/>
          <w:bCs/>
          <w:color w:val="000000"/>
          <w:sz w:val="24"/>
          <w:szCs w:val="24"/>
          <w:lang w:eastAsia="en-CA"/>
        </w:rPr>
        <w:t>ontents</w:t>
      </w:r>
    </w:p>
    <w:sdt>
      <w:sdtPr>
        <w:rPr>
          <w:rFonts w:asciiTheme="minorHAnsi" w:eastAsiaTheme="minorHAnsi" w:hAnsiTheme="minorHAnsi" w:cstheme="minorBidi"/>
          <w:b w:val="0"/>
          <w:bCs w:val="0"/>
          <w:color w:val="auto"/>
          <w:sz w:val="22"/>
          <w:szCs w:val="22"/>
          <w:lang w:val="en-GB" w:eastAsia="en-US"/>
        </w:rPr>
        <w:id w:val="2137678483"/>
        <w:docPartObj>
          <w:docPartGallery w:val="Table of Contents"/>
          <w:docPartUnique/>
        </w:docPartObj>
      </w:sdtPr>
      <w:sdtEndPr/>
      <w:sdtContent>
        <w:p w14:paraId="08B7EE20" w14:textId="775270D2" w:rsidR="003C6F27" w:rsidRPr="00967C9B" w:rsidRDefault="003C6F27">
          <w:pPr>
            <w:pStyle w:val="TOCHeading"/>
            <w:rPr>
              <w:lang w:val="en-GB"/>
            </w:rPr>
          </w:pPr>
        </w:p>
        <w:p w14:paraId="375EE9B2" w14:textId="6A45C58E" w:rsidR="00DD3961" w:rsidRDefault="003C6F27" w:rsidP="00DD3961">
          <w:pPr>
            <w:pStyle w:val="TOC1"/>
            <w:tabs>
              <w:tab w:val="right" w:leader="dot" w:pos="8828"/>
            </w:tabs>
            <w:rPr>
              <w:rFonts w:eastAsiaTheme="minorEastAsia"/>
              <w:b w:val="0"/>
              <w:noProof/>
              <w:sz w:val="22"/>
              <w:szCs w:val="22"/>
              <w:lang w:val="en-US"/>
            </w:rPr>
          </w:pPr>
          <w:r w:rsidRPr="00967C9B">
            <w:rPr>
              <w:b w:val="0"/>
            </w:rPr>
            <w:fldChar w:fldCharType="begin"/>
          </w:r>
          <w:r w:rsidRPr="00967C9B">
            <w:instrText>TOC \o "1-3" \h \z \u</w:instrText>
          </w:r>
          <w:r w:rsidRPr="00967C9B">
            <w:rPr>
              <w:b w:val="0"/>
            </w:rPr>
            <w:fldChar w:fldCharType="separate"/>
          </w:r>
        </w:p>
        <w:p w14:paraId="4F381732" w14:textId="366FF9B6" w:rsidR="00DD3961" w:rsidRDefault="00A23F23">
          <w:pPr>
            <w:pStyle w:val="TOC1"/>
            <w:tabs>
              <w:tab w:val="right" w:leader="dot" w:pos="8828"/>
            </w:tabs>
            <w:rPr>
              <w:rFonts w:eastAsiaTheme="minorEastAsia"/>
              <w:b w:val="0"/>
              <w:noProof/>
              <w:sz w:val="22"/>
              <w:szCs w:val="22"/>
              <w:lang w:val="en-US"/>
            </w:rPr>
          </w:pPr>
          <w:hyperlink w:anchor="_Toc8644544" w:history="1">
            <w:r w:rsidR="00DD3961" w:rsidRPr="003F13E0">
              <w:rPr>
                <w:rStyle w:val="Hyperlink"/>
                <w:noProof/>
              </w:rPr>
              <w:t>1) Executive summary of the gender equality plan</w:t>
            </w:r>
            <w:r w:rsidR="00DD3961">
              <w:rPr>
                <w:noProof/>
                <w:webHidden/>
              </w:rPr>
              <w:tab/>
            </w:r>
            <w:r w:rsidR="00DD3961">
              <w:rPr>
                <w:noProof/>
                <w:webHidden/>
              </w:rPr>
              <w:fldChar w:fldCharType="begin"/>
            </w:r>
            <w:r w:rsidR="00DD3961">
              <w:rPr>
                <w:noProof/>
                <w:webHidden/>
              </w:rPr>
              <w:instrText xml:space="preserve"> PAGEREF _Toc8644544 \h </w:instrText>
            </w:r>
            <w:r w:rsidR="00DD3961">
              <w:rPr>
                <w:noProof/>
                <w:webHidden/>
              </w:rPr>
            </w:r>
            <w:r w:rsidR="00DD3961">
              <w:rPr>
                <w:noProof/>
                <w:webHidden/>
              </w:rPr>
              <w:fldChar w:fldCharType="separate"/>
            </w:r>
            <w:r w:rsidR="00DD3961">
              <w:rPr>
                <w:noProof/>
                <w:webHidden/>
              </w:rPr>
              <w:t>32</w:t>
            </w:r>
            <w:r w:rsidR="00DD3961">
              <w:rPr>
                <w:noProof/>
                <w:webHidden/>
              </w:rPr>
              <w:fldChar w:fldCharType="end"/>
            </w:r>
          </w:hyperlink>
        </w:p>
        <w:p w14:paraId="35DEC895" w14:textId="1088700E" w:rsidR="00DD3961" w:rsidRDefault="00A23F23">
          <w:pPr>
            <w:pStyle w:val="TOC1"/>
            <w:tabs>
              <w:tab w:val="right" w:leader="dot" w:pos="8828"/>
            </w:tabs>
            <w:rPr>
              <w:rFonts w:eastAsiaTheme="minorEastAsia"/>
              <w:b w:val="0"/>
              <w:noProof/>
              <w:sz w:val="22"/>
              <w:szCs w:val="22"/>
              <w:lang w:val="en-US"/>
            </w:rPr>
          </w:pPr>
          <w:hyperlink w:anchor="_Toc8644545" w:history="1">
            <w:r w:rsidR="00DD3961" w:rsidRPr="003F13E0">
              <w:rPr>
                <w:rStyle w:val="Hyperlink"/>
                <w:noProof/>
              </w:rPr>
              <w:t>2) Description of the Project</w:t>
            </w:r>
            <w:r w:rsidR="00DD3961">
              <w:rPr>
                <w:noProof/>
                <w:webHidden/>
              </w:rPr>
              <w:tab/>
            </w:r>
            <w:r w:rsidR="00DD3961">
              <w:rPr>
                <w:noProof/>
                <w:webHidden/>
              </w:rPr>
              <w:fldChar w:fldCharType="begin"/>
            </w:r>
            <w:r w:rsidR="00DD3961">
              <w:rPr>
                <w:noProof/>
                <w:webHidden/>
              </w:rPr>
              <w:instrText xml:space="preserve"> PAGEREF _Toc8644545 \h </w:instrText>
            </w:r>
            <w:r w:rsidR="00DD3961">
              <w:rPr>
                <w:noProof/>
                <w:webHidden/>
              </w:rPr>
            </w:r>
            <w:r w:rsidR="00DD3961">
              <w:rPr>
                <w:noProof/>
                <w:webHidden/>
              </w:rPr>
              <w:fldChar w:fldCharType="separate"/>
            </w:r>
            <w:r w:rsidR="00DD3961">
              <w:rPr>
                <w:noProof/>
                <w:webHidden/>
              </w:rPr>
              <w:t>33</w:t>
            </w:r>
            <w:r w:rsidR="00DD3961">
              <w:rPr>
                <w:noProof/>
                <w:webHidden/>
              </w:rPr>
              <w:fldChar w:fldCharType="end"/>
            </w:r>
          </w:hyperlink>
        </w:p>
        <w:p w14:paraId="3EC1D9CA" w14:textId="14E5398C" w:rsidR="00DD3961" w:rsidRDefault="00A23F23">
          <w:pPr>
            <w:pStyle w:val="TOC1"/>
            <w:tabs>
              <w:tab w:val="right" w:leader="dot" w:pos="8828"/>
            </w:tabs>
            <w:rPr>
              <w:rFonts w:eastAsiaTheme="minorEastAsia"/>
              <w:b w:val="0"/>
              <w:noProof/>
              <w:sz w:val="22"/>
              <w:szCs w:val="22"/>
              <w:lang w:val="en-US"/>
            </w:rPr>
          </w:pPr>
          <w:hyperlink w:anchor="_Toc8644546" w:history="1">
            <w:r w:rsidR="00DD3961" w:rsidRPr="003F13E0">
              <w:rPr>
                <w:rStyle w:val="Hyperlink"/>
                <w:noProof/>
              </w:rPr>
              <w:t>3) Summary of legal framework</w:t>
            </w:r>
            <w:r w:rsidR="00DD3961">
              <w:rPr>
                <w:noProof/>
                <w:webHidden/>
              </w:rPr>
              <w:tab/>
            </w:r>
            <w:r w:rsidR="00DD3961">
              <w:rPr>
                <w:noProof/>
                <w:webHidden/>
              </w:rPr>
              <w:fldChar w:fldCharType="begin"/>
            </w:r>
            <w:r w:rsidR="00DD3961">
              <w:rPr>
                <w:noProof/>
                <w:webHidden/>
              </w:rPr>
              <w:instrText xml:space="preserve"> PAGEREF _Toc8644546 \h </w:instrText>
            </w:r>
            <w:r w:rsidR="00DD3961">
              <w:rPr>
                <w:noProof/>
                <w:webHidden/>
              </w:rPr>
            </w:r>
            <w:r w:rsidR="00DD3961">
              <w:rPr>
                <w:noProof/>
                <w:webHidden/>
              </w:rPr>
              <w:fldChar w:fldCharType="separate"/>
            </w:r>
            <w:r w:rsidR="00DD3961">
              <w:rPr>
                <w:noProof/>
                <w:webHidden/>
              </w:rPr>
              <w:t>34</w:t>
            </w:r>
            <w:r w:rsidR="00DD3961">
              <w:rPr>
                <w:noProof/>
                <w:webHidden/>
              </w:rPr>
              <w:fldChar w:fldCharType="end"/>
            </w:r>
          </w:hyperlink>
        </w:p>
        <w:p w14:paraId="2DCCF62C" w14:textId="492C682E" w:rsidR="00DD3961" w:rsidRDefault="00A23F23">
          <w:pPr>
            <w:pStyle w:val="TOC1"/>
            <w:tabs>
              <w:tab w:val="right" w:leader="dot" w:pos="8828"/>
            </w:tabs>
            <w:rPr>
              <w:rFonts w:eastAsiaTheme="minorEastAsia"/>
              <w:b w:val="0"/>
              <w:noProof/>
              <w:sz w:val="22"/>
              <w:szCs w:val="22"/>
              <w:lang w:val="en-US"/>
            </w:rPr>
          </w:pPr>
          <w:hyperlink w:anchor="_Toc8644547" w:history="1">
            <w:r w:rsidR="00DD3961" w:rsidRPr="003F13E0">
              <w:rPr>
                <w:rStyle w:val="Hyperlink"/>
                <w:noProof/>
              </w:rPr>
              <w:t>4) Summary of social and gender assessment</w:t>
            </w:r>
            <w:r w:rsidR="00DD3961">
              <w:rPr>
                <w:noProof/>
                <w:webHidden/>
              </w:rPr>
              <w:tab/>
            </w:r>
            <w:r w:rsidR="00DD3961">
              <w:rPr>
                <w:noProof/>
                <w:webHidden/>
              </w:rPr>
              <w:fldChar w:fldCharType="begin"/>
            </w:r>
            <w:r w:rsidR="00DD3961">
              <w:rPr>
                <w:noProof/>
                <w:webHidden/>
              </w:rPr>
              <w:instrText xml:space="preserve"> PAGEREF _Toc8644547 \h </w:instrText>
            </w:r>
            <w:r w:rsidR="00DD3961">
              <w:rPr>
                <w:noProof/>
                <w:webHidden/>
              </w:rPr>
            </w:r>
            <w:r w:rsidR="00DD3961">
              <w:rPr>
                <w:noProof/>
                <w:webHidden/>
              </w:rPr>
              <w:fldChar w:fldCharType="separate"/>
            </w:r>
            <w:r w:rsidR="00DD3961">
              <w:rPr>
                <w:noProof/>
                <w:webHidden/>
              </w:rPr>
              <w:t>36</w:t>
            </w:r>
            <w:r w:rsidR="00DD3961">
              <w:rPr>
                <w:noProof/>
                <w:webHidden/>
              </w:rPr>
              <w:fldChar w:fldCharType="end"/>
            </w:r>
          </w:hyperlink>
        </w:p>
        <w:p w14:paraId="2B0CBD05" w14:textId="4EDFF643" w:rsidR="00DD3961" w:rsidRDefault="00A23F23">
          <w:pPr>
            <w:pStyle w:val="TOC1"/>
            <w:tabs>
              <w:tab w:val="right" w:leader="dot" w:pos="8828"/>
            </w:tabs>
            <w:rPr>
              <w:rFonts w:eastAsiaTheme="minorEastAsia"/>
              <w:b w:val="0"/>
              <w:noProof/>
              <w:sz w:val="22"/>
              <w:szCs w:val="22"/>
              <w:lang w:val="en-US"/>
            </w:rPr>
          </w:pPr>
          <w:hyperlink w:anchor="_Toc8644548" w:history="1">
            <w:r w:rsidR="00DD3961" w:rsidRPr="003F13E0">
              <w:rPr>
                <w:rStyle w:val="Hyperlink"/>
                <w:noProof/>
              </w:rPr>
              <w:t>5) General Description of actions and benefits for gender integration</w:t>
            </w:r>
            <w:r w:rsidR="00DD3961">
              <w:rPr>
                <w:noProof/>
                <w:webHidden/>
              </w:rPr>
              <w:tab/>
            </w:r>
            <w:r w:rsidR="00DD3961">
              <w:rPr>
                <w:noProof/>
                <w:webHidden/>
              </w:rPr>
              <w:fldChar w:fldCharType="begin"/>
            </w:r>
            <w:r w:rsidR="00DD3961">
              <w:rPr>
                <w:noProof/>
                <w:webHidden/>
              </w:rPr>
              <w:instrText xml:space="preserve"> PAGEREF _Toc8644548 \h </w:instrText>
            </w:r>
            <w:r w:rsidR="00DD3961">
              <w:rPr>
                <w:noProof/>
                <w:webHidden/>
              </w:rPr>
            </w:r>
            <w:r w:rsidR="00DD3961">
              <w:rPr>
                <w:noProof/>
                <w:webHidden/>
              </w:rPr>
              <w:fldChar w:fldCharType="separate"/>
            </w:r>
            <w:r w:rsidR="00DD3961">
              <w:rPr>
                <w:noProof/>
                <w:webHidden/>
              </w:rPr>
              <w:t>37</w:t>
            </w:r>
            <w:r w:rsidR="00DD3961">
              <w:rPr>
                <w:noProof/>
                <w:webHidden/>
              </w:rPr>
              <w:fldChar w:fldCharType="end"/>
            </w:r>
          </w:hyperlink>
        </w:p>
        <w:p w14:paraId="22BC23C9" w14:textId="159D7692" w:rsidR="00DD3961" w:rsidRDefault="00A23F23">
          <w:pPr>
            <w:pStyle w:val="TOC1"/>
            <w:tabs>
              <w:tab w:val="right" w:leader="dot" w:pos="8828"/>
            </w:tabs>
            <w:rPr>
              <w:rFonts w:eastAsiaTheme="minorEastAsia"/>
              <w:b w:val="0"/>
              <w:noProof/>
              <w:sz w:val="22"/>
              <w:szCs w:val="22"/>
              <w:lang w:val="en-US"/>
            </w:rPr>
          </w:pPr>
          <w:hyperlink w:anchor="_Toc8644549" w:history="1">
            <w:r w:rsidR="00DD3961" w:rsidRPr="003F13E0">
              <w:rPr>
                <w:rStyle w:val="Hyperlink"/>
                <w:noProof/>
              </w:rPr>
              <w:t>6) Monitoring and evaluation</w:t>
            </w:r>
            <w:r w:rsidR="00DD3961">
              <w:rPr>
                <w:noProof/>
                <w:webHidden/>
              </w:rPr>
              <w:tab/>
            </w:r>
            <w:r w:rsidR="00DD3961">
              <w:rPr>
                <w:noProof/>
                <w:webHidden/>
              </w:rPr>
              <w:fldChar w:fldCharType="begin"/>
            </w:r>
            <w:r w:rsidR="00DD3961">
              <w:rPr>
                <w:noProof/>
                <w:webHidden/>
              </w:rPr>
              <w:instrText xml:space="preserve"> PAGEREF _Toc8644549 \h </w:instrText>
            </w:r>
            <w:r w:rsidR="00DD3961">
              <w:rPr>
                <w:noProof/>
                <w:webHidden/>
              </w:rPr>
            </w:r>
            <w:r w:rsidR="00DD3961">
              <w:rPr>
                <w:noProof/>
                <w:webHidden/>
              </w:rPr>
              <w:fldChar w:fldCharType="separate"/>
            </w:r>
            <w:r w:rsidR="00DD3961">
              <w:rPr>
                <w:noProof/>
                <w:webHidden/>
              </w:rPr>
              <w:t>42</w:t>
            </w:r>
            <w:r w:rsidR="00DD3961">
              <w:rPr>
                <w:noProof/>
                <w:webHidden/>
              </w:rPr>
              <w:fldChar w:fldCharType="end"/>
            </w:r>
          </w:hyperlink>
        </w:p>
        <w:p w14:paraId="26B5ADFD" w14:textId="36C2061D" w:rsidR="00DD3961" w:rsidRDefault="00A23F23">
          <w:pPr>
            <w:pStyle w:val="TOC1"/>
            <w:tabs>
              <w:tab w:val="right" w:leader="dot" w:pos="8828"/>
            </w:tabs>
            <w:rPr>
              <w:rFonts w:eastAsiaTheme="minorEastAsia"/>
              <w:b w:val="0"/>
              <w:noProof/>
              <w:sz w:val="22"/>
              <w:szCs w:val="22"/>
              <w:lang w:val="en-US"/>
            </w:rPr>
          </w:pPr>
          <w:hyperlink w:anchor="_Toc8644550" w:history="1">
            <w:r w:rsidR="00DD3961" w:rsidRPr="003F13E0">
              <w:rPr>
                <w:rStyle w:val="Hyperlink"/>
                <w:noProof/>
              </w:rPr>
              <w:t>7) Budget and Responsibilities</w:t>
            </w:r>
            <w:r w:rsidR="00DD3961">
              <w:rPr>
                <w:noProof/>
                <w:webHidden/>
              </w:rPr>
              <w:tab/>
            </w:r>
            <w:r w:rsidR="00DD3961">
              <w:rPr>
                <w:noProof/>
                <w:webHidden/>
              </w:rPr>
              <w:fldChar w:fldCharType="begin"/>
            </w:r>
            <w:r w:rsidR="00DD3961">
              <w:rPr>
                <w:noProof/>
                <w:webHidden/>
              </w:rPr>
              <w:instrText xml:space="preserve"> PAGEREF _Toc8644550 \h </w:instrText>
            </w:r>
            <w:r w:rsidR="00DD3961">
              <w:rPr>
                <w:noProof/>
                <w:webHidden/>
              </w:rPr>
            </w:r>
            <w:r w:rsidR="00DD3961">
              <w:rPr>
                <w:noProof/>
                <w:webHidden/>
              </w:rPr>
              <w:fldChar w:fldCharType="separate"/>
            </w:r>
            <w:r w:rsidR="00DD3961">
              <w:rPr>
                <w:noProof/>
                <w:webHidden/>
              </w:rPr>
              <w:t>42</w:t>
            </w:r>
            <w:r w:rsidR="00DD3961">
              <w:rPr>
                <w:noProof/>
                <w:webHidden/>
              </w:rPr>
              <w:fldChar w:fldCharType="end"/>
            </w:r>
          </w:hyperlink>
        </w:p>
        <w:p w14:paraId="22E07FD4" w14:textId="27E4A1A2" w:rsidR="00DD3961" w:rsidRDefault="00A23F23">
          <w:pPr>
            <w:pStyle w:val="TOC1"/>
            <w:tabs>
              <w:tab w:val="right" w:leader="dot" w:pos="8828"/>
            </w:tabs>
            <w:rPr>
              <w:rFonts w:eastAsiaTheme="minorEastAsia"/>
              <w:b w:val="0"/>
              <w:noProof/>
              <w:sz w:val="22"/>
              <w:szCs w:val="22"/>
              <w:lang w:val="en-US"/>
            </w:rPr>
          </w:pPr>
          <w:hyperlink w:anchor="_Toc8644551" w:history="1">
            <w:r w:rsidR="00DD3961" w:rsidRPr="003F13E0">
              <w:rPr>
                <w:rStyle w:val="Hyperlink"/>
                <w:noProof/>
              </w:rPr>
              <w:t>8) Grievance Mechanism</w:t>
            </w:r>
            <w:r w:rsidR="00DD3961">
              <w:rPr>
                <w:noProof/>
                <w:webHidden/>
              </w:rPr>
              <w:tab/>
            </w:r>
            <w:r w:rsidR="00DD3961">
              <w:rPr>
                <w:noProof/>
                <w:webHidden/>
              </w:rPr>
              <w:fldChar w:fldCharType="begin"/>
            </w:r>
            <w:r w:rsidR="00DD3961">
              <w:rPr>
                <w:noProof/>
                <w:webHidden/>
              </w:rPr>
              <w:instrText xml:space="preserve"> PAGEREF _Toc8644551 \h </w:instrText>
            </w:r>
            <w:r w:rsidR="00DD3961">
              <w:rPr>
                <w:noProof/>
                <w:webHidden/>
              </w:rPr>
            </w:r>
            <w:r w:rsidR="00DD3961">
              <w:rPr>
                <w:noProof/>
                <w:webHidden/>
              </w:rPr>
              <w:fldChar w:fldCharType="separate"/>
            </w:r>
            <w:r w:rsidR="00DD3961">
              <w:rPr>
                <w:noProof/>
                <w:webHidden/>
              </w:rPr>
              <w:t>43</w:t>
            </w:r>
            <w:r w:rsidR="00DD3961">
              <w:rPr>
                <w:noProof/>
                <w:webHidden/>
              </w:rPr>
              <w:fldChar w:fldCharType="end"/>
            </w:r>
          </w:hyperlink>
        </w:p>
        <w:p w14:paraId="1994B558" w14:textId="64181D53" w:rsidR="00DD3961" w:rsidRDefault="00A23F23">
          <w:pPr>
            <w:pStyle w:val="TOC1"/>
            <w:tabs>
              <w:tab w:val="right" w:leader="dot" w:pos="8828"/>
            </w:tabs>
            <w:rPr>
              <w:rFonts w:eastAsiaTheme="minorEastAsia"/>
              <w:b w:val="0"/>
              <w:noProof/>
              <w:sz w:val="22"/>
              <w:szCs w:val="22"/>
              <w:lang w:val="en-US"/>
            </w:rPr>
          </w:pPr>
          <w:hyperlink w:anchor="_Toc8644552" w:history="1">
            <w:r w:rsidR="00DD3961" w:rsidRPr="003F13E0">
              <w:rPr>
                <w:rStyle w:val="Hyperlink"/>
                <w:noProof/>
              </w:rPr>
              <w:t>9) Bibliography</w:t>
            </w:r>
            <w:r w:rsidR="00DD3961">
              <w:rPr>
                <w:noProof/>
                <w:webHidden/>
              </w:rPr>
              <w:tab/>
            </w:r>
            <w:r w:rsidR="00DD3961">
              <w:rPr>
                <w:noProof/>
                <w:webHidden/>
              </w:rPr>
              <w:fldChar w:fldCharType="begin"/>
            </w:r>
            <w:r w:rsidR="00DD3961">
              <w:rPr>
                <w:noProof/>
                <w:webHidden/>
              </w:rPr>
              <w:instrText xml:space="preserve"> PAGEREF _Toc8644552 \h </w:instrText>
            </w:r>
            <w:r w:rsidR="00DD3961">
              <w:rPr>
                <w:noProof/>
                <w:webHidden/>
              </w:rPr>
            </w:r>
            <w:r w:rsidR="00DD3961">
              <w:rPr>
                <w:noProof/>
                <w:webHidden/>
              </w:rPr>
              <w:fldChar w:fldCharType="separate"/>
            </w:r>
            <w:r w:rsidR="00DD3961">
              <w:rPr>
                <w:noProof/>
                <w:webHidden/>
              </w:rPr>
              <w:t>47</w:t>
            </w:r>
            <w:r w:rsidR="00DD3961">
              <w:rPr>
                <w:noProof/>
                <w:webHidden/>
              </w:rPr>
              <w:fldChar w:fldCharType="end"/>
            </w:r>
          </w:hyperlink>
        </w:p>
        <w:p w14:paraId="78FDB5D3" w14:textId="1D4F60D1" w:rsidR="00DD3961" w:rsidRDefault="00A23F23">
          <w:pPr>
            <w:pStyle w:val="TOC1"/>
            <w:tabs>
              <w:tab w:val="right" w:leader="dot" w:pos="8828"/>
            </w:tabs>
            <w:rPr>
              <w:rFonts w:eastAsiaTheme="minorEastAsia"/>
              <w:b w:val="0"/>
              <w:noProof/>
              <w:sz w:val="22"/>
              <w:szCs w:val="22"/>
              <w:lang w:val="en-US"/>
            </w:rPr>
          </w:pPr>
          <w:hyperlink w:anchor="_Toc8644553" w:history="1">
            <w:r w:rsidR="00DD3961" w:rsidRPr="003F13E0">
              <w:rPr>
                <w:rStyle w:val="Hyperlink"/>
                <w:noProof/>
              </w:rPr>
              <w:t>10)  Summary of all activities - inclusion of gender equality approach in the project</w:t>
            </w:r>
            <w:r w:rsidR="00DD3961">
              <w:rPr>
                <w:noProof/>
                <w:webHidden/>
              </w:rPr>
              <w:tab/>
            </w:r>
            <w:r w:rsidR="00DD3961">
              <w:rPr>
                <w:noProof/>
                <w:webHidden/>
              </w:rPr>
              <w:fldChar w:fldCharType="begin"/>
            </w:r>
            <w:r w:rsidR="00DD3961">
              <w:rPr>
                <w:noProof/>
                <w:webHidden/>
              </w:rPr>
              <w:instrText xml:space="preserve"> PAGEREF _Toc8644553 \h </w:instrText>
            </w:r>
            <w:r w:rsidR="00DD3961">
              <w:rPr>
                <w:noProof/>
                <w:webHidden/>
              </w:rPr>
            </w:r>
            <w:r w:rsidR="00DD3961">
              <w:rPr>
                <w:noProof/>
                <w:webHidden/>
              </w:rPr>
              <w:fldChar w:fldCharType="separate"/>
            </w:r>
            <w:r w:rsidR="00DD3961">
              <w:rPr>
                <w:noProof/>
                <w:webHidden/>
              </w:rPr>
              <w:t>49</w:t>
            </w:r>
            <w:r w:rsidR="00DD3961">
              <w:rPr>
                <w:noProof/>
                <w:webHidden/>
              </w:rPr>
              <w:fldChar w:fldCharType="end"/>
            </w:r>
          </w:hyperlink>
        </w:p>
        <w:p w14:paraId="133703CA" w14:textId="52D1CC04" w:rsidR="003C6F27" w:rsidRPr="00967C9B" w:rsidRDefault="003C6F27">
          <w:r w:rsidRPr="00967C9B">
            <w:rPr>
              <w:b/>
              <w:bCs/>
            </w:rPr>
            <w:fldChar w:fldCharType="end"/>
          </w:r>
        </w:p>
      </w:sdtContent>
    </w:sdt>
    <w:p w14:paraId="2754037F" w14:textId="77777777" w:rsidR="00EB6DF3" w:rsidRPr="00967C9B" w:rsidRDefault="00141070" w:rsidP="00680D69">
      <w:pPr>
        <w:spacing w:after="240" w:line="240" w:lineRule="auto"/>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p>
    <w:p w14:paraId="506F5923" w14:textId="77777777" w:rsidR="00EB6DF3" w:rsidRPr="00967C9B" w:rsidRDefault="00EB6DF3" w:rsidP="00680D69">
      <w:pPr>
        <w:spacing w:after="240" w:line="240" w:lineRule="auto"/>
        <w:rPr>
          <w:rFonts w:ascii="Times New Roman" w:eastAsia="Times New Roman" w:hAnsi="Times New Roman" w:cs="Times New Roman"/>
          <w:sz w:val="24"/>
          <w:szCs w:val="24"/>
          <w:lang w:eastAsia="en-CA"/>
        </w:rPr>
      </w:pPr>
    </w:p>
    <w:p w14:paraId="5ABB6F0D" w14:textId="77777777" w:rsidR="00EB6DF3" w:rsidRPr="00967C9B" w:rsidRDefault="00EB6DF3" w:rsidP="00680D69">
      <w:pPr>
        <w:spacing w:after="240" w:line="240" w:lineRule="auto"/>
        <w:rPr>
          <w:rFonts w:ascii="Times New Roman" w:eastAsia="Times New Roman" w:hAnsi="Times New Roman" w:cs="Times New Roman"/>
          <w:sz w:val="24"/>
          <w:szCs w:val="24"/>
          <w:lang w:eastAsia="en-CA"/>
        </w:rPr>
      </w:pPr>
    </w:p>
    <w:p w14:paraId="19A07BC9" w14:textId="0941EBD9" w:rsidR="009204F3" w:rsidRDefault="00141070" w:rsidP="00680D69">
      <w:pPr>
        <w:spacing w:after="240" w:line="240" w:lineRule="auto"/>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p>
    <w:p w14:paraId="4101A6F8" w14:textId="776F4857" w:rsidR="00DD3961" w:rsidRDefault="00DD3961" w:rsidP="00680D69">
      <w:pPr>
        <w:spacing w:after="240" w:line="240" w:lineRule="auto"/>
        <w:rPr>
          <w:rFonts w:ascii="Times New Roman" w:eastAsia="Times New Roman" w:hAnsi="Times New Roman" w:cs="Times New Roman"/>
          <w:sz w:val="24"/>
          <w:szCs w:val="24"/>
          <w:lang w:eastAsia="en-CA"/>
        </w:rPr>
      </w:pPr>
    </w:p>
    <w:p w14:paraId="0337200E" w14:textId="74D562AB" w:rsidR="00DD3961" w:rsidRDefault="00DD3961" w:rsidP="00680D69">
      <w:pPr>
        <w:spacing w:after="240" w:line="240" w:lineRule="auto"/>
        <w:rPr>
          <w:rFonts w:ascii="Times New Roman" w:eastAsia="Times New Roman" w:hAnsi="Times New Roman" w:cs="Times New Roman"/>
          <w:sz w:val="24"/>
          <w:szCs w:val="24"/>
          <w:lang w:eastAsia="en-CA"/>
        </w:rPr>
      </w:pPr>
    </w:p>
    <w:p w14:paraId="3937330F" w14:textId="15AE9773" w:rsidR="00DD3961" w:rsidRDefault="00DD3961" w:rsidP="00680D69">
      <w:pPr>
        <w:spacing w:after="240" w:line="240" w:lineRule="auto"/>
        <w:rPr>
          <w:rFonts w:ascii="Times New Roman" w:eastAsia="Times New Roman" w:hAnsi="Times New Roman" w:cs="Times New Roman"/>
          <w:sz w:val="24"/>
          <w:szCs w:val="24"/>
          <w:lang w:eastAsia="en-CA"/>
        </w:rPr>
      </w:pPr>
    </w:p>
    <w:p w14:paraId="5D73A4F5" w14:textId="5351A458" w:rsidR="00141070" w:rsidRPr="00967C9B" w:rsidRDefault="00141070" w:rsidP="00680D69">
      <w:pPr>
        <w:spacing w:after="240" w:line="240" w:lineRule="auto"/>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br/>
      </w:r>
      <w:r w:rsidRPr="00967C9B">
        <w:rPr>
          <w:rFonts w:ascii="Times New Roman" w:eastAsia="Times New Roman" w:hAnsi="Times New Roman" w:cs="Times New Roman"/>
          <w:sz w:val="24"/>
          <w:szCs w:val="24"/>
          <w:lang w:eastAsia="en-CA"/>
        </w:rPr>
        <w:br/>
      </w:r>
    </w:p>
    <w:p w14:paraId="5FA4795B" w14:textId="38330290" w:rsidR="00141070" w:rsidRPr="00967C9B" w:rsidRDefault="002657D9" w:rsidP="009204F3">
      <w:pPr>
        <w:pStyle w:val="Heading1"/>
        <w:rPr>
          <w:rFonts w:asciiTheme="minorHAnsi" w:hAnsiTheme="minorHAnsi"/>
          <w:sz w:val="24"/>
          <w:szCs w:val="24"/>
        </w:rPr>
      </w:pPr>
      <w:bookmarkStart w:id="55" w:name="_Toc8644442"/>
      <w:bookmarkStart w:id="56" w:name="_Toc8644544"/>
      <w:r w:rsidRPr="00967C9B">
        <w:rPr>
          <w:rFonts w:asciiTheme="minorHAnsi" w:hAnsiTheme="minorHAnsi"/>
          <w:sz w:val="24"/>
          <w:szCs w:val="24"/>
        </w:rPr>
        <w:t>1</w:t>
      </w:r>
      <w:r w:rsidR="00141070" w:rsidRPr="00967C9B">
        <w:rPr>
          <w:rFonts w:asciiTheme="minorHAnsi" w:hAnsiTheme="minorHAnsi"/>
          <w:sz w:val="24"/>
          <w:szCs w:val="24"/>
        </w:rPr>
        <w:t>) Executive summary of the gender equality plan</w:t>
      </w:r>
      <w:bookmarkEnd w:id="55"/>
      <w:bookmarkEnd w:id="56"/>
      <w:r w:rsidR="00141070" w:rsidRPr="00967C9B">
        <w:rPr>
          <w:rFonts w:asciiTheme="minorHAnsi" w:hAnsiTheme="minorHAnsi"/>
          <w:sz w:val="24"/>
          <w:szCs w:val="24"/>
        </w:rPr>
        <w:t xml:space="preserve"> </w:t>
      </w:r>
    </w:p>
    <w:p w14:paraId="43D08022" w14:textId="5D7A9424"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This plan was developed to guide the execution of the project "Integrated Management of Water Resources of the Mira</w:t>
      </w:r>
      <w:r w:rsidR="00597800" w:rsidRPr="00967C9B">
        <w:rPr>
          <w:rFonts w:ascii="Calibri" w:eastAsia="Times New Roman" w:hAnsi="Calibri" w:cs="Calibri"/>
          <w:color w:val="000000"/>
          <w:lang w:eastAsia="en-CA"/>
        </w:rPr>
        <w:t>-</w:t>
      </w:r>
      <w:proofErr w:type="spellStart"/>
      <w:r w:rsidRPr="00967C9B">
        <w:rPr>
          <w:rFonts w:ascii="Calibri" w:eastAsia="Times New Roman" w:hAnsi="Calibri" w:cs="Calibri"/>
          <w:color w:val="000000"/>
          <w:lang w:eastAsia="en-CA"/>
        </w:rPr>
        <w:t>Mataje</w:t>
      </w:r>
      <w:proofErr w:type="spellEnd"/>
      <w:r w:rsidRPr="00967C9B">
        <w:rPr>
          <w:rFonts w:ascii="Calibri" w:eastAsia="Times New Roman" w:hAnsi="Calibri" w:cs="Calibri"/>
          <w:color w:val="000000"/>
          <w:lang w:eastAsia="en-CA"/>
        </w:rPr>
        <w:t xml:space="preserve"> and Carchi</w:t>
      </w:r>
      <w:r w:rsidR="007C267B" w:rsidRPr="00967C9B">
        <w:rPr>
          <w:rFonts w:ascii="Calibri" w:eastAsia="Times New Roman" w:hAnsi="Calibri" w:cs="Calibri"/>
          <w:color w:val="000000"/>
          <w:lang w:eastAsia="en-CA"/>
        </w:rPr>
        <w:t>-</w:t>
      </w:r>
      <w:proofErr w:type="spellStart"/>
      <w:r w:rsidR="007C267B" w:rsidRPr="00967C9B">
        <w:rPr>
          <w:rFonts w:ascii="Calibri" w:eastAsia="Times New Roman" w:hAnsi="Calibri" w:cs="Calibri"/>
          <w:color w:val="000000"/>
          <w:lang w:eastAsia="en-CA"/>
        </w:rPr>
        <w:t>Guáitara</w:t>
      </w:r>
      <w:proofErr w:type="spellEnd"/>
      <w:r w:rsidRPr="00967C9B">
        <w:rPr>
          <w:rFonts w:ascii="Calibri" w:eastAsia="Times New Roman" w:hAnsi="Calibri" w:cs="Calibri"/>
          <w:color w:val="000000"/>
          <w:lang w:eastAsia="en-CA"/>
        </w:rPr>
        <w:t xml:space="preserve"> binational basins through the strengthening of institutional and management capacities at the regional, local and community level to achieve environmental and socioeconomic benefits</w:t>
      </w:r>
      <w:r w:rsidR="005710C3"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in relation to the inclusion of </w:t>
      </w:r>
      <w:r w:rsidR="00CC38F8"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 xml:space="preserve"> gender equality approach.</w:t>
      </w:r>
    </w:p>
    <w:p w14:paraId="30D07DA8"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49715FAF" w14:textId="630E097F"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For its formulation, a diagnosis of the gender conditions </w:t>
      </w:r>
      <w:r w:rsidR="00CC38F8" w:rsidRPr="00967C9B">
        <w:rPr>
          <w:rFonts w:ascii="Calibri" w:eastAsia="Times New Roman" w:hAnsi="Calibri" w:cs="Calibri"/>
          <w:color w:val="000000"/>
          <w:lang w:eastAsia="en-CA"/>
        </w:rPr>
        <w:t>in</w:t>
      </w:r>
      <w:r w:rsidRPr="00967C9B">
        <w:rPr>
          <w:rFonts w:ascii="Calibri" w:eastAsia="Times New Roman" w:hAnsi="Calibri" w:cs="Calibri"/>
          <w:color w:val="000000"/>
          <w:lang w:eastAsia="en-CA"/>
        </w:rPr>
        <w:t xml:space="preserve"> the intervention basins of the project was made and several aspects of inequality were evidenced for access, participation and decision making between men and women</w:t>
      </w:r>
      <w:r w:rsidR="00E61E33" w:rsidRPr="00967C9B">
        <w:rPr>
          <w:rFonts w:ascii="Calibri" w:eastAsia="Times New Roman" w:hAnsi="Calibri" w:cs="Calibri"/>
          <w:color w:val="000000"/>
          <w:lang w:eastAsia="en-CA"/>
        </w:rPr>
        <w:t xml:space="preserve"> regarding</w:t>
      </w:r>
      <w:r w:rsidRPr="00967C9B">
        <w:rPr>
          <w:rFonts w:ascii="Calibri" w:eastAsia="Times New Roman" w:hAnsi="Calibri" w:cs="Calibri"/>
          <w:color w:val="000000"/>
          <w:lang w:eastAsia="en-CA"/>
        </w:rPr>
        <w:t xml:space="preserve"> the governance of water. </w:t>
      </w:r>
    </w:p>
    <w:p w14:paraId="1D70AB9F"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0674AD96" w14:textId="2D62630D"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Among the main findings, it is worth mentioning that there is a lot of similarity in </w:t>
      </w:r>
      <w:r w:rsidR="00E61E33" w:rsidRPr="00967C9B">
        <w:rPr>
          <w:rFonts w:ascii="Calibri" w:eastAsia="Times New Roman" w:hAnsi="Calibri" w:cs="Calibri"/>
          <w:color w:val="000000"/>
          <w:lang w:eastAsia="en-CA"/>
        </w:rPr>
        <w:t>terms of</w:t>
      </w:r>
      <w:r w:rsidRPr="00967C9B">
        <w:rPr>
          <w:rFonts w:ascii="Calibri" w:eastAsia="Times New Roman" w:hAnsi="Calibri" w:cs="Calibri"/>
          <w:color w:val="000000"/>
          <w:lang w:eastAsia="en-CA"/>
        </w:rPr>
        <w:t xml:space="preserve"> limitations of participation of women from different basins. There is a predominant leadership in the participation and decision making of men, especially regarding irrigation. </w:t>
      </w:r>
      <w:proofErr w:type="gramStart"/>
      <w:r w:rsidRPr="00967C9B">
        <w:rPr>
          <w:rFonts w:ascii="Calibri" w:eastAsia="Times New Roman" w:hAnsi="Calibri" w:cs="Calibri"/>
          <w:color w:val="000000"/>
          <w:lang w:eastAsia="en-CA"/>
        </w:rPr>
        <w:t xml:space="preserve">The </w:t>
      </w:r>
      <w:r w:rsidR="002650EE" w:rsidRPr="00967C9B">
        <w:rPr>
          <w:rFonts w:ascii="Calibri" w:eastAsia="Times New Roman" w:hAnsi="Calibri" w:cs="Calibri"/>
          <w:color w:val="000000"/>
          <w:lang w:eastAsia="en-CA"/>
        </w:rPr>
        <w:t>majority</w:t>
      </w:r>
      <w:r w:rsidRPr="00967C9B">
        <w:rPr>
          <w:rFonts w:ascii="Calibri" w:eastAsia="Times New Roman" w:hAnsi="Calibri" w:cs="Calibri"/>
          <w:color w:val="000000"/>
          <w:lang w:eastAsia="en-CA"/>
        </w:rPr>
        <w:t xml:space="preserve"> of</w:t>
      </w:r>
      <w:proofErr w:type="gramEnd"/>
      <w:r w:rsidRPr="00967C9B">
        <w:rPr>
          <w:rFonts w:ascii="Calibri" w:eastAsia="Times New Roman" w:hAnsi="Calibri" w:cs="Calibri"/>
          <w:color w:val="000000"/>
          <w:lang w:eastAsia="en-CA"/>
        </w:rPr>
        <w:t xml:space="preserve"> representation in decision making in the governance of water is primarily male.</w:t>
      </w:r>
    </w:p>
    <w:p w14:paraId="4533F728"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759DA50D" w14:textId="61A1977B"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 design of this project does not </w:t>
      </w:r>
      <w:r w:rsidR="002650EE" w:rsidRPr="00967C9B">
        <w:rPr>
          <w:rFonts w:ascii="Calibri" w:eastAsia="Times New Roman" w:hAnsi="Calibri" w:cs="Calibri"/>
          <w:color w:val="000000"/>
          <w:lang w:eastAsia="en-CA"/>
        </w:rPr>
        <w:t>have</w:t>
      </w:r>
      <w:r w:rsidRPr="00967C9B">
        <w:rPr>
          <w:rFonts w:ascii="Calibri" w:eastAsia="Times New Roman" w:hAnsi="Calibri" w:cs="Calibri"/>
          <w:color w:val="000000"/>
          <w:lang w:eastAsia="en-CA"/>
        </w:rPr>
        <w:t xml:space="preserve"> </w:t>
      </w:r>
      <w:r w:rsidR="002650EE" w:rsidRPr="00967C9B">
        <w:rPr>
          <w:rFonts w:ascii="Calibri" w:eastAsia="Times New Roman" w:hAnsi="Calibri" w:cs="Calibri"/>
          <w:color w:val="000000"/>
          <w:lang w:eastAsia="en-CA"/>
        </w:rPr>
        <w:t xml:space="preserve">adverse </w:t>
      </w:r>
      <w:r w:rsidRPr="00967C9B">
        <w:rPr>
          <w:rFonts w:ascii="Calibri" w:eastAsia="Times New Roman" w:hAnsi="Calibri" w:cs="Calibri"/>
          <w:color w:val="000000"/>
          <w:lang w:eastAsia="en-CA"/>
        </w:rPr>
        <w:t>impact</w:t>
      </w:r>
      <w:r w:rsidR="002650EE" w:rsidRPr="00967C9B">
        <w:rPr>
          <w:rFonts w:ascii="Calibri" w:eastAsia="Times New Roman" w:hAnsi="Calibri" w:cs="Calibri"/>
          <w:color w:val="000000"/>
          <w:lang w:eastAsia="en-CA"/>
        </w:rPr>
        <w:t>s</w:t>
      </w:r>
      <w:r w:rsidRPr="00967C9B">
        <w:rPr>
          <w:rFonts w:ascii="Calibri" w:eastAsia="Times New Roman" w:hAnsi="Calibri" w:cs="Calibri"/>
          <w:color w:val="000000"/>
          <w:lang w:eastAsia="en-CA"/>
        </w:rPr>
        <w:t xml:space="preserve"> socially or environmentally</w:t>
      </w:r>
      <w:r w:rsidR="002650EE"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on the contrary</w:t>
      </w:r>
      <w:r w:rsidR="002650EE"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it is focused on strengthening the mechanisms </w:t>
      </w:r>
      <w:r w:rsidR="0050352B" w:rsidRPr="00967C9B">
        <w:rPr>
          <w:rFonts w:ascii="Calibri" w:eastAsia="Times New Roman" w:hAnsi="Calibri" w:cs="Calibri"/>
          <w:color w:val="000000"/>
          <w:lang w:eastAsia="en-CA"/>
        </w:rPr>
        <w:t>and improving</w:t>
      </w:r>
      <w:r w:rsidRPr="00967C9B">
        <w:rPr>
          <w:rFonts w:ascii="Calibri" w:eastAsia="Times New Roman" w:hAnsi="Calibri" w:cs="Calibri"/>
          <w:color w:val="000000"/>
          <w:lang w:eastAsia="en-CA"/>
        </w:rPr>
        <w:t xml:space="preserve"> conditions of weak governance in the intervention basins. The actions designed in their content will contribute to </w:t>
      </w:r>
      <w:r w:rsidR="0050352B" w:rsidRPr="00967C9B">
        <w:rPr>
          <w:rFonts w:ascii="Calibri" w:eastAsia="Times New Roman" w:hAnsi="Calibri" w:cs="Calibri"/>
          <w:color w:val="000000"/>
          <w:lang w:eastAsia="en-CA"/>
        </w:rPr>
        <w:t>the</w:t>
      </w:r>
      <w:r w:rsidRPr="00967C9B">
        <w:rPr>
          <w:rFonts w:ascii="Calibri" w:eastAsia="Times New Roman" w:hAnsi="Calibri" w:cs="Calibri"/>
          <w:color w:val="000000"/>
          <w:lang w:eastAsia="en-CA"/>
        </w:rPr>
        <w:t xml:space="preserve"> better management of water resource</w:t>
      </w:r>
      <w:r w:rsidR="0050352B" w:rsidRPr="00967C9B">
        <w:rPr>
          <w:rFonts w:ascii="Calibri" w:eastAsia="Times New Roman" w:hAnsi="Calibri" w:cs="Calibri"/>
          <w:color w:val="000000"/>
          <w:lang w:eastAsia="en-CA"/>
        </w:rPr>
        <w:t>s</w:t>
      </w:r>
      <w:r w:rsidRPr="00967C9B">
        <w:rPr>
          <w:rFonts w:ascii="Calibri" w:eastAsia="Times New Roman" w:hAnsi="Calibri" w:cs="Calibri"/>
          <w:color w:val="000000"/>
          <w:lang w:eastAsia="en-CA"/>
        </w:rPr>
        <w:t xml:space="preserve">, </w:t>
      </w:r>
      <w:r w:rsidR="0050352B" w:rsidRPr="00967C9B">
        <w:rPr>
          <w:rFonts w:ascii="Calibri" w:eastAsia="Times New Roman" w:hAnsi="Calibri" w:cs="Calibri"/>
          <w:color w:val="000000"/>
          <w:lang w:eastAsia="en-CA"/>
        </w:rPr>
        <w:t>to</w:t>
      </w:r>
      <w:r w:rsidR="00706C6C" w:rsidRPr="00967C9B">
        <w:rPr>
          <w:rFonts w:ascii="Calibri" w:eastAsia="Times New Roman" w:hAnsi="Calibri" w:cs="Calibri"/>
          <w:color w:val="000000"/>
          <w:lang w:eastAsia="en-CA"/>
        </w:rPr>
        <w:t xml:space="preserve"> mechanisms of decision </w:t>
      </w:r>
      <w:r w:rsidRPr="00967C9B">
        <w:rPr>
          <w:rFonts w:ascii="Calibri" w:eastAsia="Times New Roman" w:hAnsi="Calibri" w:cs="Calibri"/>
          <w:color w:val="000000"/>
          <w:lang w:eastAsia="en-CA"/>
        </w:rPr>
        <w:t xml:space="preserve">making, </w:t>
      </w:r>
      <w:r w:rsidR="0050352B" w:rsidRPr="00967C9B">
        <w:rPr>
          <w:rFonts w:ascii="Calibri" w:eastAsia="Times New Roman" w:hAnsi="Calibri" w:cs="Calibri"/>
          <w:color w:val="000000"/>
          <w:lang w:eastAsia="en-CA"/>
        </w:rPr>
        <w:t xml:space="preserve">and </w:t>
      </w:r>
      <w:r w:rsidRPr="00967C9B">
        <w:rPr>
          <w:rFonts w:ascii="Calibri" w:eastAsia="Times New Roman" w:hAnsi="Calibri" w:cs="Calibri"/>
          <w:color w:val="000000"/>
          <w:lang w:eastAsia="en-CA"/>
        </w:rPr>
        <w:t>sustainability, among others. However, due to the weaknesses identified in the context of project implementation</w:t>
      </w:r>
      <w:r w:rsidR="00BD2F49" w:rsidRPr="00967C9B">
        <w:rPr>
          <w:rFonts w:ascii="Calibri" w:eastAsia="Times New Roman" w:hAnsi="Calibri" w:cs="Calibri"/>
          <w:color w:val="000000"/>
          <w:lang w:eastAsia="en-CA"/>
        </w:rPr>
        <w:t xml:space="preserve"> (such as </w:t>
      </w:r>
      <w:r w:rsidRPr="00967C9B">
        <w:rPr>
          <w:rFonts w:ascii="Calibri" w:eastAsia="Times New Roman" w:hAnsi="Calibri" w:cs="Calibri"/>
          <w:color w:val="000000"/>
          <w:lang w:eastAsia="en-CA"/>
        </w:rPr>
        <w:t>inequality in participation, decision</w:t>
      </w:r>
      <w:r w:rsidR="00BD2F49"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making and benefits between men and women</w:t>
      </w:r>
      <w:r w:rsidR="00BD2F49"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affirmative actions or positive measures</w:t>
      </w:r>
      <w:r w:rsidR="005A0AFF" w:rsidRPr="00967C9B">
        <w:rPr>
          <w:rStyle w:val="FootnoteReference"/>
          <w:rFonts w:ascii="Calibri" w:eastAsia="Times New Roman" w:hAnsi="Calibri" w:cs="Calibri"/>
          <w:color w:val="000000"/>
          <w:lang w:eastAsia="en-CA"/>
        </w:rPr>
        <w:footnoteReference w:id="22"/>
      </w:r>
      <w:r w:rsidRPr="00967C9B">
        <w:rPr>
          <w:rFonts w:ascii="Calibri" w:eastAsia="Times New Roman" w:hAnsi="Calibri" w:cs="Calibri"/>
          <w:color w:val="000000"/>
          <w:lang w:eastAsia="en-CA"/>
        </w:rPr>
        <w:t xml:space="preserve"> were integrated as part of this intervention plan which must be executed within the project. </w:t>
      </w:r>
    </w:p>
    <w:p w14:paraId="3BD1D6AA"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6D59A44B" w14:textId="1549DFE2" w:rsidR="00680D69"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These actions are in line with the UNDP and GEF institutional policies on gender equality, as well as with international commitments and national regulations of Ecuador and Colombia.</w:t>
      </w:r>
      <w:r w:rsidR="00BD2F49" w:rsidRPr="00967C9B">
        <w:rPr>
          <w:rFonts w:ascii="Times New Roman" w:eastAsia="Times New Roman" w:hAnsi="Times New Roman" w:cs="Times New Roman"/>
          <w:sz w:val="24"/>
          <w:szCs w:val="24"/>
          <w:lang w:eastAsia="en-CA"/>
        </w:rPr>
        <w:t xml:space="preserve"> </w:t>
      </w:r>
      <w:r w:rsidRPr="00967C9B">
        <w:rPr>
          <w:rFonts w:ascii="Calibri" w:eastAsia="Times New Roman" w:hAnsi="Calibri" w:cs="Calibri"/>
          <w:color w:val="000000"/>
          <w:lang w:eastAsia="en-CA"/>
        </w:rPr>
        <w:t xml:space="preserve">The plan integrates specific actions in the design, context and background, activities, results framework, training processes, awareness, communication, feedback or consultation, as well as in its monitoring strategy. In addition, it has a specific budget destined for </w:t>
      </w:r>
      <w:r w:rsidR="00837D1E" w:rsidRPr="00967C9B">
        <w:rPr>
          <w:rFonts w:ascii="Calibri" w:eastAsia="Times New Roman" w:hAnsi="Calibri" w:cs="Calibri"/>
          <w:color w:val="000000"/>
          <w:lang w:eastAsia="en-CA"/>
        </w:rPr>
        <w:t xml:space="preserve">gender </w:t>
      </w:r>
      <w:r w:rsidRPr="00967C9B">
        <w:rPr>
          <w:rFonts w:ascii="Calibri" w:eastAsia="Times New Roman" w:hAnsi="Calibri" w:cs="Calibri"/>
          <w:color w:val="000000"/>
          <w:lang w:eastAsia="en-CA"/>
        </w:rPr>
        <w:t>integration, personnel specialized in the formation of the execution team</w:t>
      </w:r>
      <w:r w:rsidR="00475F75"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and the necessary consultant personnel for the implementation of the project.</w:t>
      </w:r>
    </w:p>
    <w:p w14:paraId="50B02545" w14:textId="3F902D7E" w:rsidR="00141070" w:rsidRPr="00967C9B" w:rsidRDefault="002657D9" w:rsidP="00DD3961">
      <w:pPr>
        <w:pStyle w:val="Heading1"/>
        <w:jc w:val="both"/>
      </w:pPr>
      <w:bookmarkStart w:id="57" w:name="_Toc8644443"/>
      <w:bookmarkStart w:id="58" w:name="_Toc8644545"/>
      <w:r w:rsidRPr="00967C9B">
        <w:rPr>
          <w:rFonts w:asciiTheme="minorHAnsi" w:hAnsiTheme="minorHAnsi"/>
          <w:sz w:val="24"/>
          <w:szCs w:val="24"/>
        </w:rPr>
        <w:t>2</w:t>
      </w:r>
      <w:r w:rsidR="00141070" w:rsidRPr="00967C9B">
        <w:rPr>
          <w:rFonts w:asciiTheme="minorHAnsi" w:hAnsiTheme="minorHAnsi"/>
          <w:sz w:val="24"/>
          <w:szCs w:val="24"/>
        </w:rPr>
        <w:t>) Description of the Project</w:t>
      </w:r>
      <w:bookmarkEnd w:id="57"/>
      <w:bookmarkEnd w:id="58"/>
    </w:p>
    <w:p w14:paraId="1092A282" w14:textId="2811D33A" w:rsidR="00141070" w:rsidRPr="00967C9B" w:rsidRDefault="005710C3"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Withi</w:t>
      </w:r>
      <w:r w:rsidR="00141070" w:rsidRPr="00967C9B">
        <w:rPr>
          <w:rFonts w:ascii="Calibri" w:eastAsia="Times New Roman" w:hAnsi="Calibri" w:cs="Calibri"/>
          <w:color w:val="000000"/>
          <w:lang w:eastAsia="en-CA"/>
        </w:rPr>
        <w:t xml:space="preserve">n the framework of the sixth </w:t>
      </w:r>
      <w:r w:rsidR="00B5292F" w:rsidRPr="00967C9B">
        <w:rPr>
          <w:rFonts w:ascii="Calibri" w:eastAsia="Times New Roman" w:hAnsi="Calibri" w:cs="Calibri"/>
          <w:color w:val="000000"/>
          <w:lang w:eastAsia="en-CA"/>
        </w:rPr>
        <w:t>revision</w:t>
      </w:r>
      <w:r w:rsidR="00141070" w:rsidRPr="00967C9B">
        <w:rPr>
          <w:rFonts w:ascii="Calibri" w:eastAsia="Times New Roman" w:hAnsi="Calibri" w:cs="Calibri"/>
          <w:color w:val="000000"/>
          <w:lang w:eastAsia="en-CA"/>
        </w:rPr>
        <w:t xml:space="preserve"> of the GEF, the governments of Colombia and Ecuador presented the project "Integrated Management of Water Resources of the binational basins Mira - </w:t>
      </w:r>
      <w:proofErr w:type="spellStart"/>
      <w:r w:rsidR="00141070" w:rsidRPr="00967C9B">
        <w:rPr>
          <w:rFonts w:ascii="Calibri" w:eastAsia="Times New Roman" w:hAnsi="Calibri" w:cs="Calibri"/>
          <w:color w:val="000000"/>
          <w:lang w:eastAsia="en-CA"/>
        </w:rPr>
        <w:t>Mataje</w:t>
      </w:r>
      <w:proofErr w:type="spellEnd"/>
      <w:r w:rsidR="00141070" w:rsidRPr="00967C9B">
        <w:rPr>
          <w:rFonts w:ascii="Calibri" w:eastAsia="Times New Roman" w:hAnsi="Calibri" w:cs="Calibri"/>
          <w:color w:val="000000"/>
          <w:lang w:eastAsia="en-CA"/>
        </w:rPr>
        <w:t xml:space="preserve"> and Carchi - </w:t>
      </w:r>
      <w:proofErr w:type="spellStart"/>
      <w:r w:rsidR="00141070" w:rsidRPr="00967C9B">
        <w:rPr>
          <w:rFonts w:ascii="Calibri" w:eastAsia="Times New Roman" w:hAnsi="Calibri" w:cs="Calibri"/>
          <w:color w:val="000000"/>
          <w:lang w:eastAsia="en-CA"/>
        </w:rPr>
        <w:t>Guáitara</w:t>
      </w:r>
      <w:proofErr w:type="spellEnd"/>
      <w:r w:rsidR="00141070" w:rsidRPr="00967C9B">
        <w:rPr>
          <w:rFonts w:ascii="Calibri" w:eastAsia="Times New Roman" w:hAnsi="Calibri" w:cs="Calibri"/>
          <w:color w:val="000000"/>
          <w:lang w:eastAsia="en-CA"/>
        </w:rPr>
        <w:t xml:space="preserve"> in Colombia and Ecuador, by strengthening institutional and management capacities at the regional, local and community levels to achieve environmental and socioeconomic benefits."</w:t>
      </w:r>
      <w:r w:rsidR="00141070" w:rsidRPr="00967C9B">
        <w:rPr>
          <w:rFonts w:ascii="Calibri" w:eastAsia="Times New Roman" w:hAnsi="Calibri" w:cs="Calibri"/>
          <w:color w:val="000000"/>
          <w:sz w:val="48"/>
          <w:szCs w:val="48"/>
          <w:lang w:eastAsia="en-CA"/>
        </w:rPr>
        <w:t xml:space="preserve"> </w:t>
      </w:r>
    </w:p>
    <w:p w14:paraId="647111EB"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7DBB4753" w14:textId="57138CFF" w:rsidR="00AD16AF"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The project </w:t>
      </w:r>
      <w:r w:rsidR="005710C3" w:rsidRPr="00967C9B">
        <w:rPr>
          <w:rFonts w:ascii="Calibri" w:eastAsia="Times New Roman" w:hAnsi="Calibri" w:cs="Calibri"/>
          <w:color w:val="000000"/>
          <w:lang w:eastAsia="en-CA"/>
        </w:rPr>
        <w:t>takes place in</w:t>
      </w:r>
      <w:r w:rsidRPr="00967C9B">
        <w:rPr>
          <w:rFonts w:ascii="Calibri" w:eastAsia="Times New Roman" w:hAnsi="Calibri" w:cs="Calibri"/>
          <w:color w:val="000000"/>
          <w:lang w:eastAsia="en-CA"/>
        </w:rPr>
        <w:t xml:space="preserve"> the Mira</w:t>
      </w:r>
      <w:r w:rsidR="00597800" w:rsidRPr="00967C9B">
        <w:rPr>
          <w:rFonts w:ascii="Calibri" w:eastAsia="Times New Roman" w:hAnsi="Calibri" w:cs="Calibri"/>
          <w:color w:val="000000"/>
          <w:lang w:eastAsia="en-CA"/>
        </w:rPr>
        <w:t>-</w:t>
      </w:r>
      <w:proofErr w:type="spellStart"/>
      <w:r w:rsidRPr="00967C9B">
        <w:rPr>
          <w:rFonts w:ascii="Calibri" w:eastAsia="Times New Roman" w:hAnsi="Calibri" w:cs="Calibri"/>
          <w:color w:val="000000"/>
          <w:lang w:eastAsia="en-CA"/>
        </w:rPr>
        <w:t>Mataje</w:t>
      </w:r>
      <w:proofErr w:type="spellEnd"/>
      <w:r w:rsidRPr="00967C9B">
        <w:rPr>
          <w:rFonts w:ascii="Calibri" w:eastAsia="Times New Roman" w:hAnsi="Calibri" w:cs="Calibri"/>
          <w:color w:val="000000"/>
          <w:lang w:eastAsia="en-CA"/>
        </w:rPr>
        <w:t xml:space="preserve"> and Carchi </w:t>
      </w:r>
      <w:proofErr w:type="spellStart"/>
      <w:r w:rsidRPr="00967C9B">
        <w:rPr>
          <w:rFonts w:ascii="Calibri" w:eastAsia="Times New Roman" w:hAnsi="Calibri" w:cs="Calibri"/>
          <w:color w:val="000000"/>
          <w:lang w:eastAsia="en-CA"/>
        </w:rPr>
        <w:t>Guáitara</w:t>
      </w:r>
      <w:proofErr w:type="spellEnd"/>
      <w:r w:rsidRPr="00967C9B">
        <w:rPr>
          <w:rFonts w:ascii="Calibri" w:eastAsia="Times New Roman" w:hAnsi="Calibri" w:cs="Calibri"/>
          <w:color w:val="000000"/>
          <w:lang w:eastAsia="en-CA"/>
        </w:rPr>
        <w:t xml:space="preserve"> transboundary river basins. The three basins</w:t>
      </w:r>
      <w:r w:rsidR="005710C3"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located in the provinces and border departments of Ecuador and Colombia, share similar realities in several aspects</w:t>
      </w:r>
      <w:r w:rsidR="005710C3" w:rsidRPr="00967C9B">
        <w:rPr>
          <w:rFonts w:ascii="Calibri" w:eastAsia="Times New Roman" w:hAnsi="Calibri" w:cs="Calibri"/>
          <w:color w:val="000000"/>
          <w:lang w:eastAsia="en-CA"/>
        </w:rPr>
        <w:t xml:space="preserve">; </w:t>
      </w:r>
      <w:proofErr w:type="gramStart"/>
      <w:r w:rsidRPr="00967C9B">
        <w:rPr>
          <w:rFonts w:ascii="Calibri" w:eastAsia="Times New Roman" w:hAnsi="Calibri" w:cs="Calibri"/>
          <w:color w:val="000000"/>
          <w:lang w:eastAsia="en-CA"/>
        </w:rPr>
        <w:t>in particular</w:t>
      </w:r>
      <w:r w:rsidR="005710C3"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they</w:t>
      </w:r>
      <w:proofErr w:type="gramEnd"/>
      <w:r w:rsidRPr="00967C9B">
        <w:rPr>
          <w:rFonts w:ascii="Calibri" w:eastAsia="Times New Roman" w:hAnsi="Calibri" w:cs="Calibri"/>
          <w:color w:val="000000"/>
          <w:lang w:eastAsia="en-CA"/>
        </w:rPr>
        <w:t xml:space="preserve"> are the territory of a great diversity of actors with dissimilar realities around water, depending on their geographical location.</w:t>
      </w:r>
    </w:p>
    <w:p w14:paraId="57047EBC" w14:textId="2345DBED" w:rsidR="00AD16AF" w:rsidRPr="00967C9B" w:rsidRDefault="00AD16AF"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The project will focus on the weak water governance as it is identified as a root cause of the situation of the three basins.   </w:t>
      </w:r>
      <w:r w:rsidR="003960B2" w:rsidRPr="00967C9B">
        <w:rPr>
          <w:rFonts w:ascii="Calibri" w:eastAsia="Times New Roman" w:hAnsi="Calibri" w:cs="Calibri"/>
          <w:color w:val="000000"/>
          <w:lang w:eastAsia="en-CA"/>
        </w:rPr>
        <w:t>T</w:t>
      </w:r>
      <w:r w:rsidRPr="00967C9B">
        <w:rPr>
          <w:rFonts w:ascii="Calibri" w:eastAsia="Times New Roman" w:hAnsi="Calibri" w:cs="Calibri"/>
          <w:color w:val="000000"/>
          <w:lang w:eastAsia="en-CA"/>
        </w:rPr>
        <w:t xml:space="preserve">he design of the project proposes to contribute to and strengthen the governance of the basins at the binational level. </w:t>
      </w:r>
    </w:p>
    <w:p w14:paraId="4900BAF6" w14:textId="77777777" w:rsidR="00B3289C" w:rsidRPr="00967C9B" w:rsidRDefault="00B3289C" w:rsidP="00DD3961">
      <w:pPr>
        <w:spacing w:after="0" w:line="240" w:lineRule="auto"/>
        <w:jc w:val="both"/>
        <w:rPr>
          <w:rFonts w:ascii="Times New Roman" w:eastAsia="Times New Roman" w:hAnsi="Times New Roman" w:cs="Times New Roman"/>
          <w:sz w:val="24"/>
          <w:szCs w:val="24"/>
          <w:lang w:eastAsia="en-CA"/>
        </w:rPr>
      </w:pPr>
    </w:p>
    <w:p w14:paraId="0D8D6F0C" w14:textId="2DD5E399" w:rsidR="00B3289C" w:rsidRPr="00967C9B" w:rsidRDefault="00B3289C" w:rsidP="00DD3961">
      <w:pPr>
        <w:autoSpaceDE w:val="0"/>
        <w:autoSpaceDN w:val="0"/>
        <w:adjustRightInd w:val="0"/>
        <w:spacing w:after="0" w:line="240" w:lineRule="auto"/>
        <w:jc w:val="both"/>
        <w:rPr>
          <w:rFonts w:cs="Calibri"/>
        </w:rPr>
      </w:pPr>
      <w:r w:rsidRPr="00967C9B">
        <w:t>The project includes the components described below:</w:t>
      </w:r>
    </w:p>
    <w:p w14:paraId="05E9D71C" w14:textId="77777777" w:rsidR="00B3289C" w:rsidRPr="00967C9B" w:rsidRDefault="00B3289C" w:rsidP="00DD3961">
      <w:pPr>
        <w:autoSpaceDE w:val="0"/>
        <w:autoSpaceDN w:val="0"/>
        <w:adjustRightInd w:val="0"/>
        <w:spacing w:after="0" w:line="240" w:lineRule="auto"/>
        <w:jc w:val="both"/>
        <w:rPr>
          <w:rFonts w:cs="Calibri"/>
          <w:lang w:eastAsia="es-CO"/>
        </w:rPr>
      </w:pPr>
    </w:p>
    <w:p w14:paraId="76EE060A" w14:textId="0F3D319D" w:rsidR="00B3289C" w:rsidRPr="00967C9B" w:rsidRDefault="00B3289C" w:rsidP="00DD3961">
      <w:pPr>
        <w:autoSpaceDE w:val="0"/>
        <w:autoSpaceDN w:val="0"/>
        <w:adjustRightInd w:val="0"/>
        <w:spacing w:after="0" w:line="240" w:lineRule="auto"/>
        <w:jc w:val="both"/>
        <w:rPr>
          <w:rFonts w:cs="Calibri"/>
        </w:rPr>
      </w:pPr>
      <w:r w:rsidRPr="00967C9B">
        <w:rPr>
          <w:b/>
        </w:rPr>
        <w:t>Component 1</w:t>
      </w:r>
      <w:r w:rsidRPr="00967C9B">
        <w:t xml:space="preserve">. Knowledge generation, information management and diagnostic analysis of the current state of transboundary water resources (surface and ground) of the Mira, </w:t>
      </w:r>
      <w:proofErr w:type="spellStart"/>
      <w:r w:rsidRPr="00967C9B">
        <w:t>Mataje</w:t>
      </w:r>
      <w:proofErr w:type="spellEnd"/>
      <w:r w:rsidRPr="00967C9B">
        <w:t xml:space="preserve"> and Carchi-</w:t>
      </w:r>
      <w:proofErr w:type="spellStart"/>
      <w:r w:rsidRPr="00967C9B">
        <w:t>Guaitara</w:t>
      </w:r>
      <w:proofErr w:type="spellEnd"/>
      <w:r w:rsidRPr="00967C9B">
        <w:t xml:space="preserve"> binational basins. The key product (Outcome 1) from this component is a Transboundary Diagnostic Analysis - TDA. </w:t>
      </w:r>
    </w:p>
    <w:p w14:paraId="246AA8AB" w14:textId="77777777" w:rsidR="00B3289C" w:rsidRPr="00967C9B" w:rsidRDefault="00B3289C" w:rsidP="00DD3961">
      <w:pPr>
        <w:autoSpaceDE w:val="0"/>
        <w:autoSpaceDN w:val="0"/>
        <w:adjustRightInd w:val="0"/>
        <w:spacing w:after="0" w:line="240" w:lineRule="auto"/>
        <w:jc w:val="both"/>
        <w:rPr>
          <w:rFonts w:cs="Calibri"/>
          <w:lang w:eastAsia="es-CO"/>
        </w:rPr>
      </w:pPr>
    </w:p>
    <w:p w14:paraId="2AD5657D" w14:textId="77777777" w:rsidR="00B3289C" w:rsidRPr="00967C9B" w:rsidRDefault="00B3289C" w:rsidP="00DD3961">
      <w:pPr>
        <w:autoSpaceDE w:val="0"/>
        <w:autoSpaceDN w:val="0"/>
        <w:adjustRightInd w:val="0"/>
        <w:spacing w:after="0" w:line="240" w:lineRule="auto"/>
        <w:jc w:val="both"/>
        <w:rPr>
          <w:rFonts w:cs="Calibri"/>
        </w:rPr>
      </w:pPr>
      <w:r w:rsidRPr="00967C9B">
        <w:rPr>
          <w:b/>
        </w:rPr>
        <w:t>Component</w:t>
      </w:r>
      <w:r w:rsidRPr="00967C9B">
        <w:t xml:space="preserve"> </w:t>
      </w:r>
      <w:r w:rsidRPr="00967C9B">
        <w:rPr>
          <w:b/>
        </w:rPr>
        <w:t>2</w:t>
      </w:r>
      <w:r w:rsidRPr="00967C9B">
        <w:t xml:space="preserve">. Strategic planning to strengthen the governance of transboundary IWRM in the Mira – </w:t>
      </w:r>
      <w:proofErr w:type="spellStart"/>
      <w:r w:rsidRPr="00967C9B">
        <w:t>Mataje</w:t>
      </w:r>
      <w:proofErr w:type="spellEnd"/>
      <w:r w:rsidRPr="00967C9B">
        <w:t xml:space="preserve"> and Carchi-</w:t>
      </w:r>
      <w:proofErr w:type="spellStart"/>
      <w:r w:rsidRPr="00967C9B">
        <w:t>Guaitara</w:t>
      </w:r>
      <w:proofErr w:type="spellEnd"/>
      <w:r w:rsidRPr="00967C9B">
        <w:t xml:space="preserve"> bi-national watersheds and aquifers. A Strategic Action Program (SAP) will be developed and it is the key outcome (Outcome 2) from this component. It is the basis of binational ministerial agreements adopted by both countries on the priority actions to address the transboundary problems identified in the TDA of the basins under consideration.</w:t>
      </w:r>
    </w:p>
    <w:p w14:paraId="57A33D2F" w14:textId="77777777" w:rsidR="00B3289C" w:rsidRPr="00967C9B" w:rsidRDefault="00B3289C" w:rsidP="00DD3961">
      <w:pPr>
        <w:autoSpaceDE w:val="0"/>
        <w:autoSpaceDN w:val="0"/>
        <w:adjustRightInd w:val="0"/>
        <w:spacing w:after="0" w:line="240" w:lineRule="auto"/>
        <w:jc w:val="both"/>
        <w:rPr>
          <w:rFonts w:cs="Calibri"/>
          <w:lang w:eastAsia="es-CO"/>
        </w:rPr>
      </w:pPr>
    </w:p>
    <w:p w14:paraId="2C6F0692" w14:textId="44D7B380" w:rsidR="00B3289C" w:rsidRPr="00967C9B" w:rsidRDefault="00B3289C" w:rsidP="00DD3961">
      <w:pPr>
        <w:autoSpaceDE w:val="0"/>
        <w:autoSpaceDN w:val="0"/>
        <w:adjustRightInd w:val="0"/>
        <w:spacing w:after="0" w:line="240" w:lineRule="auto"/>
        <w:jc w:val="both"/>
        <w:rPr>
          <w:rFonts w:cs="Calibri"/>
        </w:rPr>
      </w:pPr>
      <w:r w:rsidRPr="00967C9B">
        <w:rPr>
          <w:b/>
        </w:rPr>
        <w:t>Component</w:t>
      </w:r>
      <w:r w:rsidRPr="00967C9B">
        <w:t xml:space="preserve"> </w:t>
      </w:r>
      <w:r w:rsidRPr="00967C9B">
        <w:rPr>
          <w:b/>
        </w:rPr>
        <w:t>3</w:t>
      </w:r>
      <w:r w:rsidRPr="00967C9B">
        <w:t>. Capacity building at public, private and community levels enabling the shared IWRM of the basins of Mira-</w:t>
      </w:r>
      <w:proofErr w:type="spellStart"/>
      <w:r w:rsidRPr="00967C9B">
        <w:t>Mataje</w:t>
      </w:r>
      <w:proofErr w:type="spellEnd"/>
      <w:r w:rsidRPr="00967C9B">
        <w:t xml:space="preserve"> and Carchi-</w:t>
      </w:r>
      <w:proofErr w:type="spellStart"/>
      <w:r w:rsidRPr="00967C9B">
        <w:t>Guaitara</w:t>
      </w:r>
      <w:proofErr w:type="spellEnd"/>
      <w:r w:rsidRPr="00967C9B">
        <w:t xml:space="preserve"> rivers. The </w:t>
      </w:r>
      <w:r w:rsidR="00616EA5" w:rsidRPr="00967C9B">
        <w:t>key (</w:t>
      </w:r>
      <w:r w:rsidRPr="00967C9B">
        <w:t>Outcome 3 - Training of key national and sub-national stakeholders in water resources management to strengthen the monitoring and control of water quality and availability).</w:t>
      </w:r>
    </w:p>
    <w:p w14:paraId="3A5BE85B" w14:textId="77777777" w:rsidR="00B3289C" w:rsidRPr="00967C9B" w:rsidRDefault="00B3289C" w:rsidP="00DD3961">
      <w:pPr>
        <w:autoSpaceDE w:val="0"/>
        <w:autoSpaceDN w:val="0"/>
        <w:adjustRightInd w:val="0"/>
        <w:spacing w:after="0" w:line="240" w:lineRule="auto"/>
        <w:jc w:val="both"/>
        <w:rPr>
          <w:rFonts w:cs="Calibri"/>
          <w:lang w:eastAsia="es-CO"/>
        </w:rPr>
      </w:pPr>
    </w:p>
    <w:p w14:paraId="23DE9D4D" w14:textId="08D8C530" w:rsidR="00B3289C" w:rsidRPr="00967C9B" w:rsidRDefault="00B3289C" w:rsidP="00DD3961">
      <w:pPr>
        <w:autoSpaceDE w:val="0"/>
        <w:autoSpaceDN w:val="0"/>
        <w:adjustRightInd w:val="0"/>
        <w:spacing w:after="0" w:line="240" w:lineRule="auto"/>
        <w:jc w:val="both"/>
      </w:pPr>
      <w:r w:rsidRPr="00967C9B">
        <w:rPr>
          <w:b/>
        </w:rPr>
        <w:t>Component</w:t>
      </w:r>
      <w:r w:rsidRPr="00967C9B">
        <w:t xml:space="preserve"> </w:t>
      </w:r>
      <w:r w:rsidR="00616EA5" w:rsidRPr="00967C9B">
        <w:rPr>
          <w:b/>
        </w:rPr>
        <w:t>4</w:t>
      </w:r>
      <w:r w:rsidR="00616EA5" w:rsidRPr="00967C9B">
        <w:t>. Innovative</w:t>
      </w:r>
      <w:r w:rsidRPr="00967C9B">
        <w:t xml:space="preserve"> interventions for testing the socio-economic and environmental benefits from applying the IWRM at selected sites of the Mira, </w:t>
      </w:r>
      <w:proofErr w:type="spellStart"/>
      <w:r w:rsidRPr="00967C9B">
        <w:t>Mataje</w:t>
      </w:r>
      <w:proofErr w:type="spellEnd"/>
      <w:r w:rsidRPr="00967C9B">
        <w:t xml:space="preserve"> and Carchi-</w:t>
      </w:r>
      <w:proofErr w:type="spellStart"/>
      <w:r w:rsidRPr="00967C9B">
        <w:t>Guaitara</w:t>
      </w:r>
      <w:proofErr w:type="spellEnd"/>
      <w:r w:rsidRPr="00967C9B">
        <w:t xml:space="preserve"> binational basins. The following will be achieved:</w:t>
      </w:r>
      <w:r w:rsidR="00A17793" w:rsidRPr="00967C9B">
        <w:t xml:space="preserve"> (</w:t>
      </w:r>
      <w:r w:rsidRPr="00967C9B">
        <w:t xml:space="preserve">Outcome 4: (4) four innovative small-scale interventions in IWRM to ensure the provision of hydrological ecosystem services and sustainable livelihoods; </w:t>
      </w:r>
    </w:p>
    <w:p w14:paraId="19C72998" w14:textId="24150175" w:rsidR="00915B78" w:rsidRPr="00967C9B" w:rsidRDefault="00B3289C" w:rsidP="00DD3961">
      <w:pPr>
        <w:autoSpaceDE w:val="0"/>
        <w:autoSpaceDN w:val="0"/>
        <w:adjustRightInd w:val="0"/>
        <w:spacing w:after="0" w:line="240" w:lineRule="auto"/>
        <w:jc w:val="both"/>
        <w:rPr>
          <w:rFonts w:cs="Calibri"/>
        </w:rPr>
      </w:pPr>
      <w:r w:rsidRPr="00967C9B">
        <w:t xml:space="preserve">Outcome 5: (2) Two prefeasibility studies on investments required for the transboundary IWRM in the Mira, </w:t>
      </w:r>
      <w:proofErr w:type="spellStart"/>
      <w:r w:rsidRPr="00967C9B">
        <w:t>Mataje</w:t>
      </w:r>
      <w:proofErr w:type="spellEnd"/>
      <w:r w:rsidRPr="00967C9B">
        <w:t>, Carchi-</w:t>
      </w:r>
      <w:proofErr w:type="spellStart"/>
      <w:r w:rsidRPr="00967C9B">
        <w:t>Guaitara</w:t>
      </w:r>
      <w:proofErr w:type="spellEnd"/>
      <w:r w:rsidRPr="00967C9B">
        <w:t xml:space="preserve"> binational basins).</w:t>
      </w:r>
    </w:p>
    <w:p w14:paraId="2FBB2608" w14:textId="6E749C13" w:rsidR="00C86E2C" w:rsidRPr="00967C9B" w:rsidRDefault="002657D9" w:rsidP="00DD3961">
      <w:pPr>
        <w:pStyle w:val="Heading1"/>
        <w:jc w:val="both"/>
      </w:pPr>
      <w:bookmarkStart w:id="59" w:name="_Toc8644444"/>
      <w:bookmarkStart w:id="60" w:name="_Toc8644546"/>
      <w:r w:rsidRPr="00967C9B">
        <w:rPr>
          <w:rFonts w:asciiTheme="minorHAnsi" w:hAnsiTheme="minorHAnsi"/>
          <w:sz w:val="24"/>
          <w:szCs w:val="24"/>
        </w:rPr>
        <w:t>3</w:t>
      </w:r>
      <w:r w:rsidR="00141070" w:rsidRPr="00967C9B">
        <w:rPr>
          <w:rFonts w:asciiTheme="minorHAnsi" w:hAnsiTheme="minorHAnsi"/>
          <w:sz w:val="24"/>
          <w:szCs w:val="24"/>
        </w:rPr>
        <w:t xml:space="preserve">) </w:t>
      </w:r>
      <w:r w:rsidR="000B7ECA" w:rsidRPr="00967C9B">
        <w:rPr>
          <w:rFonts w:asciiTheme="minorHAnsi" w:hAnsiTheme="minorHAnsi"/>
          <w:sz w:val="24"/>
          <w:szCs w:val="24"/>
        </w:rPr>
        <w:t>Summary of legal framework</w:t>
      </w:r>
      <w:bookmarkEnd w:id="59"/>
      <w:bookmarkEnd w:id="60"/>
      <w:r w:rsidR="00141070" w:rsidRPr="00967C9B">
        <w:rPr>
          <w:rFonts w:asciiTheme="minorHAnsi" w:hAnsiTheme="minorHAnsi"/>
          <w:sz w:val="24"/>
          <w:szCs w:val="24"/>
        </w:rPr>
        <w:t xml:space="preserve"> </w:t>
      </w:r>
    </w:p>
    <w:p w14:paraId="65A2AFFA" w14:textId="54E5B1C8" w:rsidR="00141070" w:rsidRPr="00967C9B" w:rsidRDefault="00EB24DF" w:rsidP="00DD3961">
      <w:pPr>
        <w:spacing w:after="0" w:line="240" w:lineRule="auto"/>
        <w:jc w:val="both"/>
        <w:rPr>
          <w:rFonts w:ascii="Calibri" w:eastAsia="Times New Roman" w:hAnsi="Calibri" w:cs="Calibri"/>
          <w:b/>
          <w:bCs/>
          <w:color w:val="000000"/>
          <w:lang w:eastAsia="en-CA"/>
        </w:rPr>
      </w:pPr>
      <w:r w:rsidRPr="00967C9B">
        <w:rPr>
          <w:rFonts w:ascii="Calibri" w:eastAsia="Times New Roman" w:hAnsi="Calibri" w:cs="Calibri"/>
          <w:b/>
          <w:bCs/>
          <w:color w:val="000000"/>
          <w:lang w:eastAsia="en-CA"/>
        </w:rPr>
        <w:t>International and national framework for gender equality</w:t>
      </w:r>
    </w:p>
    <w:p w14:paraId="0AE21C0D" w14:textId="77777777" w:rsidR="009204F3" w:rsidRPr="00967C9B" w:rsidRDefault="009204F3" w:rsidP="00DD3961">
      <w:pPr>
        <w:spacing w:after="0" w:line="240" w:lineRule="auto"/>
        <w:jc w:val="both"/>
        <w:rPr>
          <w:rFonts w:ascii="Times New Roman" w:eastAsia="Times New Roman" w:hAnsi="Times New Roman" w:cs="Times New Roman"/>
          <w:sz w:val="24"/>
          <w:szCs w:val="24"/>
          <w:lang w:eastAsia="en-CA"/>
        </w:rPr>
      </w:pPr>
    </w:p>
    <w:p w14:paraId="2D45EFA6" w14:textId="768FE36B"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This plan promotes an effective inclusion of measures for the project</w:t>
      </w:r>
      <w:r w:rsidR="00EB24DF" w:rsidRPr="00967C9B">
        <w:rPr>
          <w:rFonts w:ascii="Calibri" w:eastAsia="Times New Roman" w:hAnsi="Calibri" w:cs="Calibri"/>
          <w:color w:val="000000"/>
          <w:lang w:eastAsia="en-CA"/>
        </w:rPr>
        <w:t xml:space="preserve">, </w:t>
      </w:r>
      <w:proofErr w:type="gramStart"/>
      <w:r w:rsidR="00EB24DF" w:rsidRPr="00967C9B">
        <w:rPr>
          <w:rFonts w:ascii="Calibri" w:eastAsia="Times New Roman" w:hAnsi="Calibri" w:cs="Calibri"/>
          <w:color w:val="000000"/>
          <w:lang w:eastAsia="en-CA"/>
        </w:rPr>
        <w:t xml:space="preserve">in order </w:t>
      </w:r>
      <w:r w:rsidRPr="00967C9B">
        <w:rPr>
          <w:rFonts w:ascii="Calibri" w:eastAsia="Times New Roman" w:hAnsi="Calibri" w:cs="Calibri"/>
          <w:color w:val="000000"/>
          <w:lang w:eastAsia="en-CA"/>
        </w:rPr>
        <w:t>to</w:t>
      </w:r>
      <w:proofErr w:type="gramEnd"/>
      <w:r w:rsidRPr="00967C9B">
        <w:rPr>
          <w:rFonts w:ascii="Calibri" w:eastAsia="Times New Roman" w:hAnsi="Calibri" w:cs="Calibri"/>
          <w:color w:val="000000"/>
          <w:lang w:eastAsia="en-CA"/>
        </w:rPr>
        <w:t xml:space="preserve"> comply with international commitments and national regulations for the inclusion of gender equality in international cooperation projects. </w:t>
      </w:r>
    </w:p>
    <w:p w14:paraId="6F07875F"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0EE14013" w14:textId="51ECD3BF"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To highlight the most releva</w:t>
      </w:r>
      <w:r w:rsidR="00345ACC" w:rsidRPr="00967C9B">
        <w:rPr>
          <w:rFonts w:ascii="Calibri" w:eastAsia="Times New Roman" w:hAnsi="Calibri" w:cs="Calibri"/>
          <w:color w:val="000000"/>
          <w:lang w:eastAsia="en-CA"/>
        </w:rPr>
        <w:t>nt one,</w:t>
      </w:r>
      <w:r w:rsidRPr="00967C9B">
        <w:rPr>
          <w:rFonts w:ascii="Calibri" w:eastAsia="Times New Roman" w:hAnsi="Calibri" w:cs="Calibri"/>
          <w:color w:val="000000"/>
          <w:lang w:eastAsia="en-CA"/>
        </w:rPr>
        <w:t xml:space="preserve"> Ecuador and Colombia are signatories of the Convention on the Elimination of All Forms of Discrimination Against Women (CEDAW)</w:t>
      </w:r>
      <w:r w:rsidR="00837D1E"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 xml:space="preserve">that </w:t>
      </w:r>
      <w:r w:rsidR="00345ACC" w:rsidRPr="00967C9B">
        <w:rPr>
          <w:rFonts w:ascii="Calibri" w:eastAsia="Times New Roman" w:hAnsi="Calibri" w:cs="Calibri"/>
          <w:color w:val="000000"/>
          <w:lang w:eastAsia="en-CA"/>
        </w:rPr>
        <w:t>outlines</w:t>
      </w:r>
      <w:r w:rsidRPr="00967C9B">
        <w:rPr>
          <w:rFonts w:ascii="Calibri" w:eastAsia="Times New Roman" w:hAnsi="Calibri" w:cs="Calibri"/>
          <w:color w:val="000000"/>
          <w:lang w:eastAsia="en-CA"/>
        </w:rPr>
        <w:t xml:space="preserve"> internationally accepted principles on women's rights. As they are legally binding, the two countries, in compliance with the obligations and provisions set forth in said instrument, must submit a report every four years on the progress made in complying with the provisions of the Convention. In the same vein, the two countries have committed themselves to the United Nations Sustainable Development Goals (SDGs) where they agree to carry out projects that are sensitive to gender equality </w:t>
      </w:r>
      <w:proofErr w:type="gramStart"/>
      <w:r w:rsidRPr="00967C9B">
        <w:rPr>
          <w:rFonts w:ascii="Calibri" w:eastAsia="Times New Roman" w:hAnsi="Calibri" w:cs="Calibri"/>
          <w:color w:val="000000"/>
          <w:lang w:eastAsia="en-CA"/>
        </w:rPr>
        <w:t>in order to</w:t>
      </w:r>
      <w:proofErr w:type="gramEnd"/>
      <w:r w:rsidRPr="00967C9B">
        <w:rPr>
          <w:rFonts w:ascii="Calibri" w:eastAsia="Times New Roman" w:hAnsi="Calibri" w:cs="Calibri"/>
          <w:color w:val="000000"/>
          <w:lang w:eastAsia="en-CA"/>
        </w:rPr>
        <w:t xml:space="preserve"> contribute with Goal 5 on Gender Equality.</w:t>
      </w:r>
    </w:p>
    <w:p w14:paraId="7263D66A"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6E4E0F61" w14:textId="548DF0B8" w:rsidR="00141070"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Additionally, the countries have national regulations that protect and promote the enforceability of rights regarding the integration of gender equality; </w:t>
      </w:r>
      <w:r w:rsidR="004B3FB0"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mong the most important are the following:</w:t>
      </w:r>
    </w:p>
    <w:p w14:paraId="551CC1DE" w14:textId="77777777" w:rsidR="00C86E2C" w:rsidRPr="00967C9B" w:rsidRDefault="00C86E2C" w:rsidP="00DD3961">
      <w:pPr>
        <w:spacing w:after="0" w:line="240" w:lineRule="auto"/>
        <w:jc w:val="both"/>
        <w:rPr>
          <w:rFonts w:ascii="Times New Roman" w:eastAsia="Times New Roman" w:hAnsi="Times New Roman" w:cs="Times New Roman"/>
          <w:sz w:val="24"/>
          <w:szCs w:val="24"/>
          <w:lang w:eastAsia="en-CA"/>
        </w:rPr>
      </w:pPr>
    </w:p>
    <w:p w14:paraId="43B0FCBE" w14:textId="5DEDCB1C"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In Ecuador, Article 70 of the Constitution of the Republic (2008) states that the State will formulate and implement policies that guarantee equality between women and men, incorporate </w:t>
      </w:r>
      <w:r w:rsidR="004B3FB0"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 xml:space="preserve"> gender approach into plans and programs, and provide technical assistance for its mandatory application in the public sector.</w:t>
      </w:r>
    </w:p>
    <w:p w14:paraId="77DCCC47"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6C95B607" w14:textId="04EA4FAF"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Regarding the subject of water resources of primary competence of the project, the Organic Law of Water Resources, Uses and Use of Water (2014), in its article 62, urges that all water polic</w:t>
      </w:r>
      <w:r w:rsidR="008A5CAA" w:rsidRPr="00967C9B">
        <w:rPr>
          <w:rFonts w:ascii="Calibri" w:eastAsia="Times New Roman" w:hAnsi="Calibri" w:cs="Calibri"/>
          <w:color w:val="000000"/>
          <w:lang w:eastAsia="en-CA"/>
        </w:rPr>
        <w:t>ies</w:t>
      </w:r>
      <w:r w:rsidRPr="00967C9B">
        <w:rPr>
          <w:rFonts w:ascii="Calibri" w:eastAsia="Times New Roman" w:hAnsi="Calibri" w:cs="Calibri"/>
          <w:color w:val="000000"/>
          <w:lang w:eastAsia="en-CA"/>
        </w:rPr>
        <w:t xml:space="preserve"> must incorporate the gender perspective </w:t>
      </w:r>
      <w:proofErr w:type="gramStart"/>
      <w:r w:rsidR="008A5CAA" w:rsidRPr="00967C9B">
        <w:rPr>
          <w:rFonts w:ascii="Calibri" w:eastAsia="Times New Roman" w:hAnsi="Calibri" w:cs="Calibri"/>
          <w:color w:val="000000"/>
          <w:lang w:eastAsia="en-CA"/>
        </w:rPr>
        <w:t xml:space="preserve">as a way </w:t>
      </w:r>
      <w:r w:rsidRPr="00967C9B">
        <w:rPr>
          <w:rFonts w:ascii="Calibri" w:eastAsia="Times New Roman" w:hAnsi="Calibri" w:cs="Calibri"/>
          <w:color w:val="000000"/>
          <w:lang w:eastAsia="en-CA"/>
        </w:rPr>
        <w:t>to</w:t>
      </w:r>
      <w:proofErr w:type="gramEnd"/>
      <w:r w:rsidRPr="00967C9B">
        <w:rPr>
          <w:rFonts w:ascii="Calibri" w:eastAsia="Times New Roman" w:hAnsi="Calibri" w:cs="Calibri"/>
          <w:color w:val="000000"/>
          <w:lang w:eastAsia="en-CA"/>
        </w:rPr>
        <w:t xml:space="preserve"> establish concrete measures to meet the specific needs of women in the exercise of the human right to water</w:t>
      </w:r>
      <w:r w:rsidR="00801533" w:rsidRPr="00967C9B">
        <w:rPr>
          <w:rFonts w:ascii="Calibri" w:eastAsia="Times New Roman" w:hAnsi="Calibri" w:cs="Calibri"/>
          <w:color w:val="000000"/>
          <w:lang w:eastAsia="en-CA"/>
        </w:rPr>
        <w:t>.</w:t>
      </w:r>
      <w:r w:rsidR="00801533" w:rsidRPr="00967C9B">
        <w:t xml:space="preserve"> </w:t>
      </w:r>
      <w:r w:rsidR="00801533" w:rsidRPr="00967C9B">
        <w:rPr>
          <w:rFonts w:ascii="Calibri" w:eastAsia="Times New Roman" w:hAnsi="Calibri" w:cs="Calibri"/>
          <w:color w:val="000000"/>
          <w:lang w:eastAsia="en-CA"/>
        </w:rPr>
        <w:t xml:space="preserve">In the same way, it states that measures will be adopted </w:t>
      </w:r>
      <w:proofErr w:type="gramStart"/>
      <w:r w:rsidR="00801533" w:rsidRPr="00967C9B">
        <w:rPr>
          <w:rFonts w:ascii="Calibri" w:eastAsia="Times New Roman" w:hAnsi="Calibri" w:cs="Calibri"/>
          <w:color w:val="000000"/>
          <w:lang w:eastAsia="en-CA"/>
        </w:rPr>
        <w:t>in order to</w:t>
      </w:r>
      <w:proofErr w:type="gramEnd"/>
      <w:r w:rsidR="00801533" w:rsidRPr="00967C9B">
        <w:rPr>
          <w:rFonts w:ascii="Calibri" w:eastAsia="Times New Roman" w:hAnsi="Calibri" w:cs="Calibri"/>
          <w:color w:val="000000"/>
          <w:lang w:eastAsia="en-CA"/>
        </w:rPr>
        <w:t xml:space="preserve"> achieve formal and material equality between women and men, especially in community participation activities on water management, thus strengthening women as actors of </w:t>
      </w:r>
      <w:r w:rsidR="00B27FEF" w:rsidRPr="00967C9B">
        <w:rPr>
          <w:rFonts w:ascii="Calibri" w:eastAsia="Times New Roman" w:hAnsi="Calibri" w:cs="Calibri"/>
          <w:color w:val="000000"/>
          <w:lang w:eastAsia="en-CA"/>
        </w:rPr>
        <w:t>change.</w:t>
      </w:r>
    </w:p>
    <w:p w14:paraId="46751CA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5D94B73" w14:textId="44A0F277" w:rsidR="00141070" w:rsidRPr="00967C9B" w:rsidRDefault="00141070" w:rsidP="00DD3961">
      <w:pPr>
        <w:shd w:val="clear" w:color="auto" w:fill="FFFFFF"/>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In the same way, in Colombia, articles 13 and 43 of the Political Constitution establish that women and men have equal rights and opportunities. Women </w:t>
      </w:r>
      <w:r w:rsidR="00616EA5" w:rsidRPr="00967C9B">
        <w:rPr>
          <w:rFonts w:ascii="Calibri" w:eastAsia="Times New Roman" w:hAnsi="Calibri" w:cs="Calibri"/>
          <w:color w:val="000000"/>
          <w:lang w:eastAsia="en-CA"/>
        </w:rPr>
        <w:t>can’t</w:t>
      </w:r>
      <w:r w:rsidRPr="00967C9B">
        <w:rPr>
          <w:rFonts w:ascii="Calibri" w:eastAsia="Times New Roman" w:hAnsi="Calibri" w:cs="Calibri"/>
          <w:color w:val="000000"/>
          <w:lang w:eastAsia="en-CA"/>
        </w:rPr>
        <w:t xml:space="preserve"> be subject to any kind of discrimination. "Equally, Law 823 of Equality of Opportunities for women of 2003, dictates norms on equality for women, guarantees their rights and incorporation of gender equity actions at the national and territorial levels.</w:t>
      </w:r>
      <w:r w:rsidR="002A2769" w:rsidRPr="00967C9B">
        <w:rPr>
          <w:rFonts w:ascii="Calibri" w:eastAsia="Times New Roman" w:hAnsi="Calibri" w:cs="Calibri"/>
          <w:color w:val="000000"/>
          <w:lang w:eastAsia="en-CA"/>
        </w:rPr>
        <w:t>”</w:t>
      </w:r>
    </w:p>
    <w:p w14:paraId="4C303C44" w14:textId="77777777" w:rsidR="00141070" w:rsidRPr="00967C9B" w:rsidRDefault="00141070" w:rsidP="00DD3961">
      <w:pPr>
        <w:shd w:val="clear" w:color="auto" w:fill="FFFFFF"/>
        <w:spacing w:after="0" w:line="240" w:lineRule="auto"/>
        <w:jc w:val="both"/>
        <w:rPr>
          <w:rFonts w:ascii="Times New Roman" w:eastAsia="Times New Roman" w:hAnsi="Times New Roman" w:cs="Times New Roman"/>
          <w:sz w:val="24"/>
          <w:szCs w:val="24"/>
          <w:lang w:eastAsia="en-CA"/>
        </w:rPr>
      </w:pPr>
      <w:r w:rsidRPr="00967C9B">
        <w:rPr>
          <w:rFonts w:ascii="Times New Roman" w:eastAsia="Times New Roman" w:hAnsi="Times New Roman" w:cs="Times New Roman"/>
          <w:sz w:val="24"/>
          <w:szCs w:val="24"/>
          <w:lang w:eastAsia="en-CA"/>
        </w:rPr>
        <w:t> </w:t>
      </w:r>
    </w:p>
    <w:p w14:paraId="7184CD19" w14:textId="67FAC8B0" w:rsidR="00141070" w:rsidRPr="00967C9B" w:rsidRDefault="00141070" w:rsidP="00DD3961">
      <w:pPr>
        <w:shd w:val="clear" w:color="auto" w:fill="FFFFFF"/>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At the territorial level, there is the Policy for the Equality of the Nariño Women from its Ethnic and Cultural diversity in its Peace</w:t>
      </w:r>
      <w:r w:rsidR="00C86E2C"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building Territory (2008), whose strategic objective is to influence the processes of planning and </w:t>
      </w:r>
      <w:r w:rsidR="002A2769" w:rsidRPr="00967C9B">
        <w:rPr>
          <w:rFonts w:ascii="Calibri" w:eastAsia="Times New Roman" w:hAnsi="Calibri" w:cs="Calibri"/>
          <w:color w:val="000000"/>
          <w:lang w:eastAsia="en-CA"/>
        </w:rPr>
        <w:t xml:space="preserve">the </w:t>
      </w:r>
      <w:r w:rsidRPr="00967C9B">
        <w:rPr>
          <w:rFonts w:ascii="Calibri" w:eastAsia="Times New Roman" w:hAnsi="Calibri" w:cs="Calibri"/>
          <w:color w:val="000000"/>
          <w:lang w:eastAsia="en-CA"/>
        </w:rPr>
        <w:t xml:space="preserve">management of sustainable human development in the territory, guaranteeing the inclusion of </w:t>
      </w:r>
      <w:r w:rsidR="002A2769"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 xml:space="preserve"> gender approach and </w:t>
      </w:r>
      <w:r w:rsidR="002A2769" w:rsidRPr="00967C9B">
        <w:rPr>
          <w:rFonts w:ascii="Calibri" w:eastAsia="Times New Roman" w:hAnsi="Calibri" w:cs="Calibri"/>
          <w:color w:val="000000"/>
          <w:lang w:eastAsia="en-CA"/>
        </w:rPr>
        <w:t xml:space="preserve">the </w:t>
      </w:r>
      <w:r w:rsidRPr="00967C9B">
        <w:rPr>
          <w:rFonts w:ascii="Calibri" w:eastAsia="Times New Roman" w:hAnsi="Calibri" w:cs="Calibri"/>
          <w:color w:val="000000"/>
          <w:lang w:eastAsia="en-CA"/>
        </w:rPr>
        <w:t>recognition of women as subjects of rights and important actors of development.</w:t>
      </w:r>
    </w:p>
    <w:p w14:paraId="0EBD3477"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0B9280CA" w14:textId="7E83F166"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 xml:space="preserve">GEF and UNDP institutional framework on gender equality </w:t>
      </w:r>
      <w:r w:rsidR="009F605A" w:rsidRPr="00967C9B">
        <w:rPr>
          <w:rFonts w:ascii="Calibri" w:eastAsia="Times New Roman" w:hAnsi="Calibri" w:cs="Calibri"/>
          <w:b/>
          <w:bCs/>
          <w:color w:val="000000"/>
          <w:lang w:eastAsia="en-CA"/>
        </w:rPr>
        <w:t>mainstreaming</w:t>
      </w:r>
    </w:p>
    <w:p w14:paraId="0E638AC5"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6AE6489" w14:textId="772D6AD1"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This plan provides guidelines to comply with the institutional policy of GEF and UNDP for the integration of the gender equality approach in all its interventions.</w:t>
      </w:r>
      <w:r w:rsidR="00A96CAB" w:rsidRPr="00967C9B">
        <w:rPr>
          <w:rFonts w:ascii="Times New Roman" w:eastAsia="Times New Roman" w:hAnsi="Times New Roman" w:cs="Times New Roman"/>
          <w:sz w:val="24"/>
          <w:szCs w:val="24"/>
          <w:lang w:eastAsia="en-CA"/>
        </w:rPr>
        <w:t xml:space="preserve"> </w:t>
      </w:r>
      <w:r w:rsidRPr="00967C9B">
        <w:rPr>
          <w:rFonts w:ascii="Calibri" w:eastAsia="Times New Roman" w:hAnsi="Calibri" w:cs="Calibri"/>
          <w:color w:val="000000"/>
          <w:lang w:eastAsia="en-CA"/>
        </w:rPr>
        <w:t>It should be mentioned that GEF has recognized gender equality as a transversal priority to achiev</w:t>
      </w:r>
      <w:r w:rsidR="00A96CAB" w:rsidRPr="00967C9B">
        <w:rPr>
          <w:rFonts w:ascii="Calibri" w:eastAsia="Times New Roman" w:hAnsi="Calibri" w:cs="Calibri"/>
          <w:color w:val="000000"/>
          <w:lang w:eastAsia="en-CA"/>
        </w:rPr>
        <w:t>ing</w:t>
      </w:r>
      <w:r w:rsidRPr="00967C9B">
        <w:rPr>
          <w:rFonts w:ascii="Calibri" w:eastAsia="Times New Roman" w:hAnsi="Calibri" w:cs="Calibri"/>
          <w:color w:val="000000"/>
          <w:lang w:eastAsia="en-CA"/>
        </w:rPr>
        <w:t xml:space="preserve"> global environmental benefits. Together with GEF agencies, it has made significant progress in incorporating the gender perspective in recent years. Its policy on gender mainstreaming seeks to guarantee equal opportunities for women and men to participate, contribute</w:t>
      </w:r>
      <w:r w:rsidR="003F16A4" w:rsidRPr="00967C9B">
        <w:rPr>
          <w:rFonts w:ascii="Calibri" w:eastAsia="Times New Roman" w:hAnsi="Calibri" w:cs="Calibri"/>
          <w:color w:val="000000"/>
          <w:lang w:eastAsia="en-CA"/>
        </w:rPr>
        <w:t xml:space="preserve"> to</w:t>
      </w:r>
      <w:r w:rsidRPr="00967C9B">
        <w:rPr>
          <w:rFonts w:ascii="Calibri" w:eastAsia="Times New Roman" w:hAnsi="Calibri" w:cs="Calibri"/>
          <w:color w:val="000000"/>
          <w:lang w:eastAsia="en-CA"/>
        </w:rPr>
        <w:t xml:space="preserve"> and benefit from the activities financed by this international organization. In addition, it raises the importance of moving from a "do no harm" approach to a "doing good" approach with a gender perspective (</w:t>
      </w:r>
      <w:r w:rsidRPr="00967C9B">
        <w:rPr>
          <w:rFonts w:ascii="Calibri" w:eastAsia="Times New Roman" w:hAnsi="Calibri" w:cs="Calibri"/>
          <w:i/>
          <w:iCs/>
          <w:color w:val="000000"/>
          <w:lang w:eastAsia="en-CA"/>
        </w:rPr>
        <w:t>Gender-responsive approach</w:t>
      </w:r>
      <w:r w:rsidRPr="00967C9B">
        <w:rPr>
          <w:rFonts w:ascii="Calibri" w:eastAsia="Times New Roman" w:hAnsi="Calibri" w:cs="Calibri"/>
          <w:color w:val="000000"/>
          <w:lang w:eastAsia="en-CA"/>
        </w:rPr>
        <w:t>).</w:t>
      </w:r>
      <w:r w:rsidR="003F16A4" w:rsidRPr="00967C9B">
        <w:rPr>
          <w:rFonts w:ascii="Times New Roman" w:eastAsia="Times New Roman" w:hAnsi="Times New Roman" w:cs="Times New Roman"/>
          <w:sz w:val="24"/>
          <w:szCs w:val="24"/>
          <w:lang w:eastAsia="en-CA"/>
        </w:rPr>
        <w:br/>
      </w:r>
    </w:p>
    <w:p w14:paraId="7B53BC46" w14:textId="4942CBA2" w:rsidR="00141070" w:rsidRPr="00967C9B" w:rsidRDefault="003F16A4"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 plan p</w:t>
      </w:r>
      <w:r w:rsidR="00141070" w:rsidRPr="00967C9B">
        <w:rPr>
          <w:rFonts w:ascii="Calibri" w:eastAsia="Times New Roman" w:hAnsi="Calibri" w:cs="Calibri"/>
          <w:color w:val="000000"/>
          <w:lang w:eastAsia="en-CA"/>
        </w:rPr>
        <w:t>roposes the integration of gender-sensitive actions, from design to implementation</w:t>
      </w:r>
      <w:r w:rsidR="003E3193" w:rsidRPr="00967C9B">
        <w:rPr>
          <w:rFonts w:ascii="Calibri" w:eastAsia="Times New Roman" w:hAnsi="Calibri" w:cs="Calibri"/>
          <w:color w:val="000000"/>
          <w:lang w:eastAsia="en-CA"/>
        </w:rPr>
        <w:t>; it includes</w:t>
      </w:r>
      <w:r w:rsidR="00141070" w:rsidRPr="00967C9B">
        <w:rPr>
          <w:rFonts w:ascii="Calibri" w:eastAsia="Times New Roman" w:hAnsi="Calibri" w:cs="Calibri"/>
          <w:color w:val="000000"/>
          <w:lang w:eastAsia="en-CA"/>
        </w:rPr>
        <w:t xml:space="preserve"> monitoring and evaluation to ensure that GEF programs and projects are not only designed with a good understanding of gender differences, roles, interests and relevant needs, </w:t>
      </w:r>
      <w:proofErr w:type="gramStart"/>
      <w:r w:rsidR="003E3193" w:rsidRPr="00967C9B">
        <w:rPr>
          <w:rFonts w:ascii="Calibri" w:eastAsia="Times New Roman" w:hAnsi="Calibri" w:cs="Calibri"/>
          <w:color w:val="000000"/>
          <w:lang w:eastAsia="en-CA"/>
        </w:rPr>
        <w:t>and</w:t>
      </w:r>
      <w:r w:rsidR="00141070" w:rsidRPr="00967C9B">
        <w:rPr>
          <w:rFonts w:ascii="Calibri" w:eastAsia="Times New Roman" w:hAnsi="Calibri" w:cs="Calibri"/>
          <w:color w:val="000000"/>
          <w:lang w:eastAsia="en-CA"/>
        </w:rPr>
        <w:t xml:space="preserve"> also</w:t>
      </w:r>
      <w:proofErr w:type="gramEnd"/>
      <w:r w:rsidR="00141070" w:rsidRPr="00967C9B">
        <w:rPr>
          <w:rFonts w:ascii="Calibri" w:eastAsia="Times New Roman" w:hAnsi="Calibri" w:cs="Calibri"/>
          <w:color w:val="000000"/>
          <w:lang w:eastAsia="en-CA"/>
        </w:rPr>
        <w:t xml:space="preserve"> conduct activities that contribute to equal access and control over resources and decision-making, while empowering women and girls.</w:t>
      </w:r>
    </w:p>
    <w:p w14:paraId="566AC7D5" w14:textId="3A1C46E8" w:rsidR="00141070" w:rsidRPr="00967C9B" w:rsidRDefault="00141070" w:rsidP="00DD3961">
      <w:pPr>
        <w:spacing w:before="280" w:after="28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In turn, UNDP has a gender equality strategy </w:t>
      </w:r>
      <w:r w:rsidR="009F605A" w:rsidRPr="00967C9B">
        <w:rPr>
          <w:rFonts w:ascii="Calibri" w:eastAsia="Times New Roman" w:hAnsi="Calibri" w:cs="Calibri"/>
          <w:color w:val="000000"/>
          <w:lang w:eastAsia="en-CA"/>
        </w:rPr>
        <w:t xml:space="preserve">(2018-2021) </w:t>
      </w:r>
      <w:r w:rsidRPr="00967C9B">
        <w:rPr>
          <w:rFonts w:ascii="Calibri" w:eastAsia="Times New Roman" w:hAnsi="Calibri" w:cs="Calibri"/>
          <w:color w:val="000000"/>
          <w:lang w:eastAsia="en-CA"/>
        </w:rPr>
        <w:t xml:space="preserve">that outlines its commitment to: a) strengthen interventions that address structural changes that accelerate gender equality and women's empowerment, rather than participating primarily in programs focused on women as beneficiaries; b) strengthen the integration of gender equality in UNDP work on the environment, energy, crisis response and recovery; c) harmonize UNDP programming with its institutional messages on the importance of gender equality and the empowerment of women for the achievement of sustainable development; and d) take advantage of the institutional mechanisms for gender mainstreaming, such as the seal of gender equality and the gender marker, which establish measurable criteria and incentives to promote progress (UNDP, 2018). </w:t>
      </w:r>
    </w:p>
    <w:p w14:paraId="3E4F8AC5" w14:textId="479E690C" w:rsidR="009F605A" w:rsidRPr="00967C9B" w:rsidRDefault="00616EA5" w:rsidP="00DD3961">
      <w:pPr>
        <w:jc w:val="both"/>
      </w:pPr>
      <w:r w:rsidRPr="00967C9B">
        <w:t>This project</w:t>
      </w:r>
      <w:r w:rsidR="009F605A" w:rsidRPr="00967C9B">
        <w:t xml:space="preserve"> is aiming to contribute to the UNDP gender result 7.2</w:t>
      </w:r>
      <w:r w:rsidR="00207331" w:rsidRPr="00967C9B">
        <w:t>,</w:t>
      </w:r>
      <w:r w:rsidR="009F605A" w:rsidRPr="00967C9B">
        <w:t xml:space="preserve"> addressing gender inequalities including actions for expanding women access to services, barriers to women empowerment, and increasing women</w:t>
      </w:r>
      <w:r w:rsidR="00207331" w:rsidRPr="00967C9B">
        <w:t>´s</w:t>
      </w:r>
      <w:r w:rsidR="009F605A" w:rsidRPr="00967C9B">
        <w:t xml:space="preserve"> participation. </w:t>
      </w:r>
    </w:p>
    <w:p w14:paraId="5B6EA0CA" w14:textId="509D7539" w:rsidR="00141070" w:rsidRPr="00967C9B" w:rsidRDefault="002657D9" w:rsidP="00DD3961">
      <w:pPr>
        <w:pStyle w:val="Heading1"/>
        <w:jc w:val="both"/>
      </w:pPr>
      <w:bookmarkStart w:id="61" w:name="_Toc8644445"/>
      <w:bookmarkStart w:id="62" w:name="_Toc8644547"/>
      <w:r w:rsidRPr="00967C9B">
        <w:rPr>
          <w:rFonts w:asciiTheme="minorHAnsi" w:hAnsiTheme="minorHAnsi"/>
          <w:sz w:val="24"/>
          <w:szCs w:val="24"/>
        </w:rPr>
        <w:t>4</w:t>
      </w:r>
      <w:r w:rsidR="00141070" w:rsidRPr="00967C9B">
        <w:rPr>
          <w:rFonts w:asciiTheme="minorHAnsi" w:hAnsiTheme="minorHAnsi"/>
          <w:sz w:val="24"/>
          <w:szCs w:val="24"/>
        </w:rPr>
        <w:t xml:space="preserve">) Summary of </w:t>
      </w:r>
      <w:r w:rsidR="00B74BDD" w:rsidRPr="00967C9B">
        <w:rPr>
          <w:rFonts w:asciiTheme="minorHAnsi" w:hAnsiTheme="minorHAnsi"/>
          <w:sz w:val="24"/>
          <w:szCs w:val="24"/>
        </w:rPr>
        <w:t>social and gender assessment</w:t>
      </w:r>
      <w:bookmarkEnd w:id="61"/>
      <w:bookmarkEnd w:id="62"/>
      <w:r w:rsidR="00141070" w:rsidRPr="00967C9B">
        <w:rPr>
          <w:rFonts w:asciiTheme="minorHAnsi" w:hAnsiTheme="minorHAnsi"/>
          <w:sz w:val="24"/>
          <w:szCs w:val="24"/>
        </w:rPr>
        <w:t xml:space="preserve">  </w:t>
      </w:r>
    </w:p>
    <w:p w14:paraId="3E1B394E" w14:textId="26D0C45A"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roofErr w:type="gramStart"/>
      <w:r w:rsidRPr="00967C9B">
        <w:rPr>
          <w:rFonts w:ascii="Calibri" w:eastAsia="Times New Roman" w:hAnsi="Calibri" w:cs="Calibri"/>
          <w:color w:val="000000"/>
          <w:lang w:eastAsia="en-CA"/>
        </w:rPr>
        <w:t>In order to</w:t>
      </w:r>
      <w:proofErr w:type="gramEnd"/>
      <w:r w:rsidRPr="00967C9B">
        <w:rPr>
          <w:rFonts w:ascii="Calibri" w:eastAsia="Times New Roman" w:hAnsi="Calibri" w:cs="Calibri"/>
          <w:color w:val="000000"/>
          <w:lang w:eastAsia="en-CA"/>
        </w:rPr>
        <w:t xml:space="preserve"> carry out </w:t>
      </w:r>
      <w:r w:rsidR="00B74BDD" w:rsidRPr="00967C9B">
        <w:rPr>
          <w:rFonts w:ascii="Calibri" w:eastAsia="Times New Roman" w:hAnsi="Calibri" w:cs="Calibri"/>
          <w:color w:val="000000"/>
          <w:lang w:eastAsia="en-CA"/>
        </w:rPr>
        <w:t>the</w:t>
      </w:r>
      <w:r w:rsidRPr="00967C9B">
        <w:rPr>
          <w:rFonts w:ascii="Calibri" w:eastAsia="Times New Roman" w:hAnsi="Calibri" w:cs="Calibri"/>
          <w:color w:val="000000"/>
          <w:lang w:eastAsia="en-CA"/>
        </w:rPr>
        <w:t xml:space="preserve"> adequate design and execution of the project with a gender-</w:t>
      </w:r>
      <w:r w:rsidR="00426EC2" w:rsidRPr="00967C9B">
        <w:rPr>
          <w:rFonts w:ascii="Calibri" w:eastAsia="Times New Roman" w:hAnsi="Calibri" w:cs="Calibri"/>
          <w:color w:val="000000"/>
          <w:lang w:eastAsia="en-CA"/>
        </w:rPr>
        <w:t xml:space="preserve">responsive </w:t>
      </w:r>
      <w:r w:rsidRPr="00967C9B">
        <w:rPr>
          <w:rFonts w:ascii="Calibri" w:eastAsia="Times New Roman" w:hAnsi="Calibri" w:cs="Calibri"/>
          <w:color w:val="000000"/>
          <w:lang w:eastAsia="en-CA"/>
        </w:rPr>
        <w:t>approach and integrate it according to the institutional policies of GEF and UNDP, a diagnosis of gender conditions was made.</w:t>
      </w:r>
      <w:r w:rsidR="00F4243F" w:rsidRPr="00967C9B">
        <w:rPr>
          <w:rStyle w:val="FootnoteReference"/>
          <w:rFonts w:ascii="Calibri" w:eastAsia="Times New Roman" w:hAnsi="Calibri" w:cs="Calibri"/>
          <w:color w:val="000000"/>
          <w:lang w:eastAsia="en-CA"/>
        </w:rPr>
        <w:footnoteReference w:id="23"/>
      </w:r>
    </w:p>
    <w:p w14:paraId="3572299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B006529" w14:textId="379132AA"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 starting point for the diagnosis was </w:t>
      </w:r>
      <w:r w:rsidR="00D96F07"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 xml:space="preserve"> theory of change and its causal analysis, where the conditions of participation and decision making in the governance of water through the </w:t>
      </w:r>
      <w:r w:rsidR="00D96F07" w:rsidRPr="00967C9B">
        <w:rPr>
          <w:rFonts w:ascii="Calibri" w:eastAsia="Times New Roman" w:hAnsi="Calibri" w:cs="Calibri"/>
          <w:color w:val="000000"/>
          <w:lang w:eastAsia="en-CA"/>
        </w:rPr>
        <w:t xml:space="preserve">irrigation and drinking water </w:t>
      </w:r>
      <w:r w:rsidRPr="00967C9B">
        <w:rPr>
          <w:rFonts w:ascii="Calibri" w:eastAsia="Times New Roman" w:hAnsi="Calibri" w:cs="Calibri"/>
          <w:color w:val="000000"/>
          <w:lang w:eastAsia="en-CA"/>
        </w:rPr>
        <w:t>boards</w:t>
      </w:r>
      <w:r w:rsidR="00D96F07" w:rsidRPr="00967C9B">
        <w:rPr>
          <w:rFonts w:ascii="Calibri" w:eastAsia="Times New Roman" w:hAnsi="Calibri" w:cs="Calibri"/>
          <w:color w:val="000000"/>
          <w:lang w:eastAsia="en-CA"/>
        </w:rPr>
        <w:t xml:space="preserve">, the communal action boards, and aqueduct management boards </w:t>
      </w:r>
      <w:r w:rsidRPr="00967C9B">
        <w:rPr>
          <w:rFonts w:ascii="Calibri" w:eastAsia="Times New Roman" w:hAnsi="Calibri" w:cs="Calibri"/>
          <w:color w:val="000000"/>
          <w:lang w:eastAsia="en-CA"/>
        </w:rPr>
        <w:t>were identified as a core aspect. This topic was identified as the central axis for the analysis of basin gender in the two countries.</w:t>
      </w:r>
      <w:r w:rsidR="00312A93" w:rsidRPr="00967C9B">
        <w:rPr>
          <w:rFonts w:ascii="Times New Roman" w:eastAsia="Times New Roman" w:hAnsi="Times New Roman" w:cs="Times New Roman"/>
          <w:sz w:val="24"/>
          <w:szCs w:val="24"/>
          <w:lang w:eastAsia="en-CA"/>
        </w:rPr>
        <w:t xml:space="preserve"> </w:t>
      </w:r>
      <w:r w:rsidRPr="00967C9B">
        <w:rPr>
          <w:rFonts w:ascii="Calibri" w:eastAsia="Times New Roman" w:hAnsi="Calibri" w:cs="Calibri"/>
          <w:color w:val="000000"/>
          <w:lang w:eastAsia="en-CA"/>
        </w:rPr>
        <w:t>In the diagnosis, several common aspects were found in the study basins, where</w:t>
      </w:r>
      <w:r w:rsidR="00312A93"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despite differences in geographical location, ethnic composition or levels of organization, they have similarities in their gender conditions. </w:t>
      </w:r>
    </w:p>
    <w:p w14:paraId="79359308"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756A281" w14:textId="2027C424" w:rsidR="00141070"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In the Mira basin, water access and management </w:t>
      </w:r>
      <w:r w:rsidR="00312A93" w:rsidRPr="00967C9B">
        <w:rPr>
          <w:rFonts w:ascii="Calibri" w:eastAsia="Times New Roman" w:hAnsi="Calibri" w:cs="Calibri"/>
          <w:color w:val="000000"/>
          <w:lang w:eastAsia="en-CA"/>
        </w:rPr>
        <w:t>are</w:t>
      </w:r>
      <w:r w:rsidRPr="00967C9B">
        <w:rPr>
          <w:rFonts w:ascii="Calibri" w:eastAsia="Times New Roman" w:hAnsi="Calibri" w:cs="Calibri"/>
          <w:color w:val="000000"/>
          <w:lang w:eastAsia="en-CA"/>
        </w:rPr>
        <w:t xml:space="preserve"> directly related to the gender roles assigned to men and women</w:t>
      </w:r>
      <w:r w:rsidR="00312A93" w:rsidRPr="00967C9B">
        <w:rPr>
          <w:rFonts w:ascii="Calibri" w:eastAsia="Times New Roman" w:hAnsi="Calibri" w:cs="Calibri"/>
          <w:color w:val="000000"/>
          <w:lang w:eastAsia="en-CA"/>
        </w:rPr>
        <w:t>, thus</w:t>
      </w:r>
      <w:r w:rsidRPr="00967C9B">
        <w:rPr>
          <w:rFonts w:ascii="Calibri" w:eastAsia="Times New Roman" w:hAnsi="Calibri" w:cs="Calibri"/>
          <w:color w:val="000000"/>
          <w:lang w:eastAsia="en-CA"/>
        </w:rPr>
        <w:t xml:space="preserve"> placing men at </w:t>
      </w:r>
      <w:r w:rsidR="009F605A" w:rsidRPr="00967C9B">
        <w:rPr>
          <w:rFonts w:ascii="Calibri" w:eastAsia="Times New Roman" w:hAnsi="Calibri" w:cs="Calibri"/>
          <w:color w:val="000000"/>
          <w:lang w:eastAsia="en-CA"/>
        </w:rPr>
        <w:t xml:space="preserve">irrigation related </w:t>
      </w:r>
      <w:r w:rsidR="00616EA5" w:rsidRPr="00967C9B">
        <w:rPr>
          <w:rFonts w:ascii="Calibri" w:eastAsia="Times New Roman" w:hAnsi="Calibri" w:cs="Calibri"/>
          <w:color w:val="000000"/>
          <w:lang w:eastAsia="en-CA"/>
        </w:rPr>
        <w:t>topics and</w:t>
      </w:r>
      <w:r w:rsidRPr="00967C9B">
        <w:rPr>
          <w:rFonts w:ascii="Calibri" w:eastAsia="Times New Roman" w:hAnsi="Calibri" w:cs="Calibri"/>
          <w:color w:val="000000"/>
          <w:lang w:eastAsia="en-CA"/>
        </w:rPr>
        <w:t xml:space="preserve"> women</w:t>
      </w:r>
      <w:r w:rsidR="009F605A"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on issues</w:t>
      </w:r>
      <w:r w:rsidR="009F605A" w:rsidRPr="00967C9B">
        <w:rPr>
          <w:rFonts w:ascii="Calibri" w:eastAsia="Times New Roman" w:hAnsi="Calibri" w:cs="Calibri"/>
          <w:color w:val="000000"/>
          <w:lang w:eastAsia="en-CA"/>
        </w:rPr>
        <w:t xml:space="preserve"> related to </w:t>
      </w:r>
      <w:r w:rsidRPr="00967C9B">
        <w:rPr>
          <w:rFonts w:ascii="Calibri" w:eastAsia="Times New Roman" w:hAnsi="Calibri" w:cs="Calibri"/>
          <w:color w:val="000000"/>
          <w:lang w:eastAsia="en-CA"/>
        </w:rPr>
        <w:t>drinking water. In terms of participation and decision-making, leaders at the local levels stand out</w:t>
      </w:r>
      <w:r w:rsidR="00AB055C"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however, it is not yet sufficiently representative at the basin level since very few women occupy positions of decision-making.</w:t>
      </w:r>
    </w:p>
    <w:p w14:paraId="71A4E76E"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E4F6C7B" w14:textId="486669FE"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 Carchi - </w:t>
      </w:r>
      <w:proofErr w:type="spellStart"/>
      <w:r w:rsidRPr="00967C9B">
        <w:rPr>
          <w:rFonts w:ascii="Calibri" w:eastAsia="Times New Roman" w:hAnsi="Calibri" w:cs="Calibri"/>
          <w:color w:val="000000"/>
          <w:lang w:eastAsia="en-CA"/>
        </w:rPr>
        <w:t>Guáitara</w:t>
      </w:r>
      <w:proofErr w:type="spellEnd"/>
      <w:r w:rsidRPr="00967C9B">
        <w:rPr>
          <w:rFonts w:ascii="Calibri" w:eastAsia="Times New Roman" w:hAnsi="Calibri" w:cs="Calibri"/>
          <w:color w:val="000000"/>
          <w:lang w:eastAsia="en-CA"/>
        </w:rPr>
        <w:t xml:space="preserve"> basin, in a similar way as the Mira basin, relates women in the use of water in accordance with their traditional gender roles. </w:t>
      </w:r>
      <w:r w:rsidR="009F605A" w:rsidRPr="00967C9B">
        <w:rPr>
          <w:rFonts w:ascii="Calibri" w:eastAsia="Times New Roman" w:hAnsi="Calibri" w:cs="Calibri"/>
          <w:color w:val="000000"/>
          <w:lang w:eastAsia="en-CA"/>
        </w:rPr>
        <w:t xml:space="preserve"> However, t</w:t>
      </w:r>
      <w:r w:rsidRPr="00967C9B">
        <w:rPr>
          <w:rFonts w:ascii="Calibri" w:eastAsia="Times New Roman" w:hAnsi="Calibri" w:cs="Calibri"/>
          <w:color w:val="000000"/>
          <w:lang w:eastAsia="en-CA"/>
        </w:rPr>
        <w:t>he participation and decision-making of women is very limited in the mechanisms of organization</w:t>
      </w:r>
      <w:r w:rsidR="00AB055C"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 xml:space="preserve">that </w:t>
      </w:r>
      <w:r w:rsidR="00AB055C" w:rsidRPr="00967C9B">
        <w:rPr>
          <w:rFonts w:ascii="Calibri" w:eastAsia="Times New Roman" w:hAnsi="Calibri" w:cs="Calibri"/>
          <w:color w:val="000000"/>
          <w:lang w:eastAsia="en-CA"/>
        </w:rPr>
        <w:t xml:space="preserve">already are very scarce </w:t>
      </w:r>
      <w:r w:rsidRPr="00967C9B">
        <w:rPr>
          <w:rFonts w:ascii="Calibri" w:eastAsia="Times New Roman" w:hAnsi="Calibri" w:cs="Calibri"/>
          <w:color w:val="000000"/>
          <w:lang w:eastAsia="en-CA"/>
        </w:rPr>
        <w:t xml:space="preserve">in this basin. This situation is exacerbated in the indigenous populations where the </w:t>
      </w:r>
      <w:r w:rsidR="009F605A" w:rsidRPr="00967C9B">
        <w:rPr>
          <w:rFonts w:ascii="Calibri" w:eastAsia="Times New Roman" w:hAnsi="Calibri" w:cs="Calibri"/>
          <w:color w:val="000000"/>
          <w:lang w:eastAsia="en-CA"/>
        </w:rPr>
        <w:t xml:space="preserve">main </w:t>
      </w:r>
      <w:r w:rsidR="00F1509C" w:rsidRPr="00967C9B">
        <w:rPr>
          <w:rFonts w:ascii="Calibri" w:eastAsia="Times New Roman" w:hAnsi="Calibri" w:cs="Calibri"/>
          <w:color w:val="000000"/>
          <w:lang w:eastAsia="en-CA"/>
        </w:rPr>
        <w:t xml:space="preserve">authorities </w:t>
      </w:r>
      <w:r w:rsidRPr="00967C9B">
        <w:rPr>
          <w:rFonts w:ascii="Calibri" w:eastAsia="Times New Roman" w:hAnsi="Calibri" w:cs="Calibri"/>
          <w:color w:val="000000"/>
          <w:lang w:eastAsia="en-CA"/>
        </w:rPr>
        <w:t>are mostly occupied by men.</w:t>
      </w:r>
      <w:r w:rsidR="00AB055C" w:rsidRPr="00967C9B">
        <w:rPr>
          <w:rFonts w:ascii="Calibri" w:eastAsia="Times New Roman" w:hAnsi="Calibri" w:cs="Calibri"/>
          <w:color w:val="000000"/>
          <w:lang w:eastAsia="en-CA"/>
        </w:rPr>
        <w:br/>
      </w:r>
    </w:p>
    <w:p w14:paraId="6139ACD4" w14:textId="1F5AE2C3"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 </w:t>
      </w:r>
      <w:proofErr w:type="spellStart"/>
      <w:r w:rsidRPr="00967C9B">
        <w:rPr>
          <w:rFonts w:ascii="Calibri" w:eastAsia="Times New Roman" w:hAnsi="Calibri" w:cs="Calibri"/>
          <w:color w:val="000000"/>
          <w:lang w:eastAsia="en-CA"/>
        </w:rPr>
        <w:t>Mataje</w:t>
      </w:r>
      <w:proofErr w:type="spellEnd"/>
      <w:r w:rsidRPr="00967C9B">
        <w:rPr>
          <w:rFonts w:ascii="Calibri" w:eastAsia="Times New Roman" w:hAnsi="Calibri" w:cs="Calibri"/>
          <w:color w:val="000000"/>
          <w:lang w:eastAsia="en-CA"/>
        </w:rPr>
        <w:t xml:space="preserve"> basin differs from the other two due to the lack of organization</w:t>
      </w:r>
      <w:r w:rsidR="005C1B21" w:rsidRPr="00967C9B">
        <w:rPr>
          <w:rFonts w:ascii="Calibri" w:eastAsia="Times New Roman" w:hAnsi="Calibri" w:cs="Calibri"/>
          <w:color w:val="000000"/>
          <w:lang w:eastAsia="en-CA"/>
        </w:rPr>
        <w:t>al</w:t>
      </w:r>
      <w:r w:rsidRPr="00967C9B">
        <w:rPr>
          <w:rFonts w:ascii="Calibri" w:eastAsia="Times New Roman" w:hAnsi="Calibri" w:cs="Calibri"/>
          <w:color w:val="000000"/>
          <w:lang w:eastAsia="en-CA"/>
        </w:rPr>
        <w:t xml:space="preserve"> mechanisms around water; </w:t>
      </w:r>
      <w:r w:rsidR="005C1B21" w:rsidRPr="00967C9B">
        <w:rPr>
          <w:rFonts w:ascii="Calibri" w:eastAsia="Times New Roman" w:hAnsi="Calibri" w:cs="Calibri"/>
          <w:color w:val="000000"/>
          <w:lang w:eastAsia="en-CA"/>
        </w:rPr>
        <w:t>i</w:t>
      </w:r>
      <w:r w:rsidRPr="00967C9B">
        <w:rPr>
          <w:rFonts w:ascii="Calibri" w:eastAsia="Times New Roman" w:hAnsi="Calibri" w:cs="Calibri"/>
          <w:color w:val="000000"/>
          <w:lang w:eastAsia="en-CA"/>
        </w:rPr>
        <w:t>n addition</w:t>
      </w:r>
      <w:r w:rsidR="009F605A" w:rsidRPr="00967C9B">
        <w:rPr>
          <w:rFonts w:ascii="Calibri" w:eastAsia="Times New Roman" w:hAnsi="Calibri" w:cs="Calibri"/>
          <w:color w:val="000000"/>
          <w:lang w:eastAsia="en-CA"/>
        </w:rPr>
        <w:t xml:space="preserve">, there is not available </w:t>
      </w:r>
      <w:r w:rsidR="00EB6DF3" w:rsidRPr="00967C9B">
        <w:rPr>
          <w:rFonts w:ascii="Calibri" w:eastAsia="Times New Roman" w:hAnsi="Calibri" w:cs="Calibri"/>
          <w:color w:val="000000"/>
          <w:lang w:eastAsia="en-CA"/>
        </w:rPr>
        <w:t>information</w:t>
      </w:r>
      <w:r w:rsidRPr="00967C9B">
        <w:rPr>
          <w:rFonts w:ascii="Calibri" w:eastAsia="Times New Roman" w:hAnsi="Calibri" w:cs="Calibri"/>
          <w:color w:val="000000"/>
          <w:lang w:eastAsia="en-CA"/>
        </w:rPr>
        <w:t xml:space="preserve">, an important lack of institutional attention </w:t>
      </w:r>
      <w:r w:rsidR="00A11259" w:rsidRPr="00967C9B">
        <w:rPr>
          <w:rFonts w:ascii="Calibri" w:eastAsia="Times New Roman" w:hAnsi="Calibri" w:cs="Calibri"/>
          <w:color w:val="000000"/>
          <w:lang w:eastAsia="en-CA"/>
        </w:rPr>
        <w:t>from</w:t>
      </w:r>
      <w:r w:rsidRPr="00967C9B">
        <w:rPr>
          <w:rFonts w:ascii="Calibri" w:eastAsia="Times New Roman" w:hAnsi="Calibri" w:cs="Calibri"/>
          <w:color w:val="000000"/>
          <w:lang w:eastAsia="en-CA"/>
        </w:rPr>
        <w:t xml:space="preserve"> the states</w:t>
      </w:r>
      <w:r w:rsidR="009F605A"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fo</w:t>
      </w:r>
      <w:r w:rsidR="009F605A" w:rsidRPr="00967C9B">
        <w:rPr>
          <w:rFonts w:ascii="Calibri" w:eastAsia="Times New Roman" w:hAnsi="Calibri" w:cs="Calibri"/>
          <w:color w:val="000000"/>
          <w:lang w:eastAsia="en-CA"/>
        </w:rPr>
        <w:t xml:space="preserve">cused on </w:t>
      </w:r>
      <w:r w:rsidRPr="00967C9B">
        <w:rPr>
          <w:rFonts w:ascii="Calibri" w:eastAsia="Times New Roman" w:hAnsi="Calibri" w:cs="Calibri"/>
          <w:color w:val="000000"/>
          <w:lang w:eastAsia="en-CA"/>
        </w:rPr>
        <w:t xml:space="preserve">this area was </w:t>
      </w:r>
      <w:r w:rsidR="006F462E" w:rsidRPr="00967C9B">
        <w:rPr>
          <w:rFonts w:ascii="Calibri" w:eastAsia="Times New Roman" w:hAnsi="Calibri" w:cs="Calibri"/>
          <w:color w:val="000000"/>
          <w:lang w:eastAsia="en-CA"/>
        </w:rPr>
        <w:t>observed</w:t>
      </w:r>
      <w:r w:rsidRPr="00967C9B">
        <w:rPr>
          <w:rFonts w:ascii="Calibri" w:eastAsia="Times New Roman" w:hAnsi="Calibri" w:cs="Calibri"/>
          <w:color w:val="000000"/>
          <w:lang w:eastAsia="en-CA"/>
        </w:rPr>
        <w:t xml:space="preserve">. </w:t>
      </w:r>
      <w:r w:rsidR="00A11259" w:rsidRPr="00967C9B">
        <w:rPr>
          <w:rFonts w:ascii="Calibri" w:eastAsia="Times New Roman" w:hAnsi="Calibri" w:cs="Calibri"/>
          <w:color w:val="000000"/>
          <w:lang w:eastAsia="en-CA"/>
        </w:rPr>
        <w:t>In general</w:t>
      </w:r>
      <w:r w:rsidR="009F605A" w:rsidRPr="00967C9B">
        <w:rPr>
          <w:rFonts w:ascii="Calibri" w:eastAsia="Times New Roman" w:hAnsi="Calibri" w:cs="Calibri"/>
          <w:color w:val="000000"/>
          <w:lang w:eastAsia="en-CA"/>
        </w:rPr>
        <w:t xml:space="preserve"> terms</w:t>
      </w:r>
      <w:r w:rsidR="00A11259" w:rsidRPr="00967C9B">
        <w:rPr>
          <w:rFonts w:ascii="Calibri" w:eastAsia="Times New Roman" w:hAnsi="Calibri" w:cs="Calibri"/>
          <w:color w:val="000000"/>
          <w:lang w:eastAsia="en-CA"/>
        </w:rPr>
        <w:t>, t</w:t>
      </w:r>
      <w:r w:rsidRPr="00967C9B">
        <w:rPr>
          <w:rFonts w:ascii="Calibri" w:eastAsia="Times New Roman" w:hAnsi="Calibri" w:cs="Calibri"/>
          <w:color w:val="000000"/>
          <w:lang w:eastAsia="en-CA"/>
        </w:rPr>
        <w:t xml:space="preserve">he basin shows inadequate conditions of </w:t>
      </w:r>
      <w:r w:rsidR="00A80DB2" w:rsidRPr="00967C9B">
        <w:rPr>
          <w:rFonts w:ascii="Calibri" w:eastAsia="Times New Roman" w:hAnsi="Calibri" w:cs="Calibri"/>
          <w:color w:val="000000"/>
          <w:lang w:eastAsia="en-CA"/>
        </w:rPr>
        <w:t xml:space="preserve">water </w:t>
      </w:r>
      <w:r w:rsidRPr="00967C9B">
        <w:rPr>
          <w:rFonts w:ascii="Calibri" w:eastAsia="Times New Roman" w:hAnsi="Calibri" w:cs="Calibri"/>
          <w:color w:val="000000"/>
          <w:lang w:eastAsia="en-CA"/>
        </w:rPr>
        <w:t>access and water quality.</w:t>
      </w:r>
      <w:r w:rsidR="00D61775" w:rsidRPr="00967C9B">
        <w:rPr>
          <w:rFonts w:ascii="Calibri" w:eastAsia="Times New Roman" w:hAnsi="Calibri" w:cs="Calibri"/>
          <w:color w:val="000000"/>
          <w:lang w:eastAsia="en-CA"/>
        </w:rPr>
        <w:t xml:space="preserve"> Existing par</w:t>
      </w:r>
      <w:r w:rsidRPr="00967C9B">
        <w:rPr>
          <w:rFonts w:ascii="Calibri" w:eastAsia="Times New Roman" w:hAnsi="Calibri" w:cs="Calibri"/>
          <w:color w:val="000000"/>
          <w:lang w:eastAsia="en-CA"/>
        </w:rPr>
        <w:t xml:space="preserve">ticipation and decision-making mechanisms are not </w:t>
      </w:r>
      <w:r w:rsidR="00D61775" w:rsidRPr="00967C9B">
        <w:rPr>
          <w:rFonts w:ascii="Calibri" w:eastAsia="Times New Roman" w:hAnsi="Calibri" w:cs="Calibri"/>
          <w:color w:val="000000"/>
          <w:lang w:eastAsia="en-CA"/>
        </w:rPr>
        <w:t>related</w:t>
      </w:r>
      <w:r w:rsidRPr="00967C9B">
        <w:rPr>
          <w:rFonts w:ascii="Calibri" w:eastAsia="Times New Roman" w:hAnsi="Calibri" w:cs="Calibri"/>
          <w:color w:val="000000"/>
          <w:lang w:eastAsia="en-CA"/>
        </w:rPr>
        <w:t xml:space="preserve"> to water governance</w:t>
      </w:r>
      <w:r w:rsidR="00D61775" w:rsidRPr="00967C9B">
        <w:rPr>
          <w:rFonts w:ascii="Calibri" w:eastAsia="Times New Roman" w:hAnsi="Calibri" w:cs="Calibri"/>
          <w:color w:val="000000"/>
          <w:lang w:eastAsia="en-CA"/>
        </w:rPr>
        <w:t>, but to productive activities</w:t>
      </w:r>
      <w:r w:rsidR="00A80DB2" w:rsidRPr="00967C9B">
        <w:rPr>
          <w:rFonts w:ascii="Calibri" w:eastAsia="Times New Roman" w:hAnsi="Calibri" w:cs="Calibri"/>
          <w:color w:val="000000"/>
          <w:lang w:eastAsia="en-CA"/>
        </w:rPr>
        <w:t>.</w:t>
      </w:r>
    </w:p>
    <w:p w14:paraId="7CA82198" w14:textId="2E7794CD"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Thus, in general, some common aspects </w:t>
      </w:r>
      <w:proofErr w:type="gramStart"/>
      <w:r w:rsidR="009F605A" w:rsidRPr="00967C9B">
        <w:rPr>
          <w:rFonts w:ascii="Calibri" w:eastAsia="Times New Roman" w:hAnsi="Calibri" w:cs="Calibri"/>
          <w:color w:val="000000"/>
          <w:lang w:eastAsia="en-CA"/>
        </w:rPr>
        <w:t>were</w:t>
      </w:r>
      <w:proofErr w:type="gramEnd"/>
      <w:r w:rsidRPr="00967C9B">
        <w:rPr>
          <w:rFonts w:ascii="Calibri" w:eastAsia="Times New Roman" w:hAnsi="Calibri" w:cs="Calibri"/>
          <w:color w:val="000000"/>
          <w:lang w:eastAsia="en-CA"/>
        </w:rPr>
        <w:t xml:space="preserve"> be identified in terms of access, management, participation and decision making, which evidenced the division of women associated with drinking water by relating</w:t>
      </w:r>
      <w:r w:rsidR="00A11259" w:rsidRPr="00967C9B">
        <w:rPr>
          <w:rFonts w:ascii="Calibri" w:eastAsia="Times New Roman" w:hAnsi="Calibri" w:cs="Calibri"/>
          <w:color w:val="000000"/>
          <w:lang w:eastAsia="en-CA"/>
        </w:rPr>
        <w:t xml:space="preserve"> them</w:t>
      </w:r>
      <w:r w:rsidRPr="00967C9B">
        <w:rPr>
          <w:rFonts w:ascii="Calibri" w:eastAsia="Times New Roman" w:hAnsi="Calibri" w:cs="Calibri"/>
          <w:color w:val="000000"/>
          <w:lang w:eastAsia="en-CA"/>
        </w:rPr>
        <w:t xml:space="preserve"> to nutrition, home care, crop care and management of minor species for subsistence; </w:t>
      </w:r>
      <w:r w:rsidR="009F605A" w:rsidRPr="00967C9B">
        <w:rPr>
          <w:rFonts w:ascii="Calibri" w:eastAsia="Times New Roman" w:hAnsi="Calibri" w:cs="Calibri"/>
          <w:color w:val="000000"/>
          <w:lang w:eastAsia="en-CA"/>
        </w:rPr>
        <w:t xml:space="preserve">meanwhile </w:t>
      </w:r>
      <w:r w:rsidRPr="00967C9B">
        <w:rPr>
          <w:rFonts w:ascii="Calibri" w:eastAsia="Times New Roman" w:hAnsi="Calibri" w:cs="Calibri"/>
          <w:color w:val="000000"/>
          <w:lang w:eastAsia="en-CA"/>
        </w:rPr>
        <w:t xml:space="preserve">men </w:t>
      </w:r>
      <w:r w:rsidR="00A11259" w:rsidRPr="00967C9B">
        <w:rPr>
          <w:rFonts w:ascii="Calibri" w:eastAsia="Times New Roman" w:hAnsi="Calibri" w:cs="Calibri"/>
          <w:color w:val="000000"/>
          <w:lang w:eastAsia="en-CA"/>
        </w:rPr>
        <w:t xml:space="preserve">were </w:t>
      </w:r>
      <w:r w:rsidRPr="00967C9B">
        <w:rPr>
          <w:rFonts w:ascii="Calibri" w:eastAsia="Times New Roman" w:hAnsi="Calibri" w:cs="Calibri"/>
          <w:color w:val="000000"/>
          <w:lang w:eastAsia="en-CA"/>
        </w:rPr>
        <w:t>associated with productive activities, mainly agricultural, linked to irrigation.</w:t>
      </w:r>
    </w:p>
    <w:p w14:paraId="54D96DA9" w14:textId="52EFAEC7" w:rsidR="00170D70" w:rsidRPr="00967C9B" w:rsidRDefault="00170D70" w:rsidP="00DD3961">
      <w:pPr>
        <w:spacing w:after="0" w:line="240" w:lineRule="auto"/>
        <w:jc w:val="both"/>
        <w:rPr>
          <w:rFonts w:ascii="Times New Roman" w:eastAsia="Times New Roman" w:hAnsi="Times New Roman" w:cs="Times New Roman"/>
          <w:sz w:val="24"/>
          <w:szCs w:val="24"/>
          <w:lang w:eastAsia="en-CA"/>
        </w:rPr>
      </w:pPr>
    </w:p>
    <w:p w14:paraId="5010DC10" w14:textId="79FD9617" w:rsidR="00170D70" w:rsidRPr="00967C9B" w:rsidRDefault="00170D70" w:rsidP="00DD3961">
      <w:pPr>
        <w:spacing w:after="0" w:line="240" w:lineRule="auto"/>
        <w:jc w:val="both"/>
        <w:rPr>
          <w:rFonts w:ascii="Calibri" w:eastAsia="Times New Roman" w:hAnsi="Calibri" w:cs="Calibri"/>
          <w:color w:val="000000"/>
          <w:lang w:eastAsia="en-CA"/>
        </w:rPr>
      </w:pPr>
      <w:proofErr w:type="gramStart"/>
      <w:r w:rsidRPr="00967C9B">
        <w:rPr>
          <w:rFonts w:ascii="Calibri" w:eastAsia="Times New Roman" w:hAnsi="Calibri" w:cs="Calibri"/>
          <w:color w:val="000000"/>
          <w:lang w:eastAsia="en-CA"/>
        </w:rPr>
        <w:t>Despite the fact that</w:t>
      </w:r>
      <w:proofErr w:type="gramEnd"/>
      <w:r w:rsidRPr="00967C9B">
        <w:rPr>
          <w:rFonts w:ascii="Calibri" w:eastAsia="Times New Roman" w:hAnsi="Calibri" w:cs="Calibri"/>
          <w:color w:val="000000"/>
          <w:lang w:eastAsia="en-CA"/>
        </w:rPr>
        <w:t xml:space="preserve"> state </w:t>
      </w:r>
      <w:r w:rsidR="009F605A" w:rsidRPr="00967C9B">
        <w:rPr>
          <w:rFonts w:ascii="Calibri" w:eastAsia="Times New Roman" w:hAnsi="Calibri" w:cs="Calibri"/>
          <w:color w:val="000000"/>
          <w:lang w:eastAsia="en-CA"/>
        </w:rPr>
        <w:t xml:space="preserve">institutions </w:t>
      </w:r>
      <w:r w:rsidRPr="00967C9B">
        <w:rPr>
          <w:rFonts w:ascii="Calibri" w:eastAsia="Times New Roman" w:hAnsi="Calibri" w:cs="Calibri"/>
          <w:color w:val="000000"/>
          <w:lang w:eastAsia="en-CA"/>
        </w:rPr>
        <w:t>recommend gender parity in elections</w:t>
      </w:r>
      <w:r w:rsidR="009F605A" w:rsidRPr="00967C9B">
        <w:rPr>
          <w:rFonts w:ascii="Calibri" w:eastAsia="Times New Roman" w:hAnsi="Calibri" w:cs="Calibri"/>
          <w:color w:val="000000"/>
          <w:lang w:eastAsia="en-CA"/>
        </w:rPr>
        <w:t xml:space="preserve"> at the </w:t>
      </w:r>
      <w:r w:rsidRPr="00967C9B">
        <w:rPr>
          <w:rFonts w:ascii="Calibri" w:eastAsia="Times New Roman" w:hAnsi="Calibri" w:cs="Calibri"/>
          <w:color w:val="000000"/>
          <w:lang w:eastAsia="en-CA"/>
        </w:rPr>
        <w:t xml:space="preserve">different </w:t>
      </w:r>
      <w:r w:rsidR="009F605A" w:rsidRPr="00967C9B">
        <w:rPr>
          <w:rFonts w:ascii="Calibri" w:eastAsia="Times New Roman" w:hAnsi="Calibri" w:cs="Calibri"/>
          <w:color w:val="000000"/>
          <w:lang w:eastAsia="en-CA"/>
        </w:rPr>
        <w:t xml:space="preserve">levels of governance, </w:t>
      </w:r>
      <w:r w:rsidRPr="00967C9B">
        <w:rPr>
          <w:rFonts w:ascii="Calibri" w:eastAsia="Times New Roman" w:hAnsi="Calibri" w:cs="Calibri"/>
          <w:color w:val="000000"/>
          <w:lang w:eastAsia="en-CA"/>
        </w:rPr>
        <w:t xml:space="preserve">representation by women in Ecuador in terms of drinking water boards is only 15%. In the case of irrigation boards, representation reaches only 4%. </w:t>
      </w:r>
    </w:p>
    <w:p w14:paraId="29C60C21"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2DCC0FB4"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It was concluded that women face barriers to access, participation and decision making in the governance of water in the study basins, mainly due to: lack of access to technical training; low leadership capacity due to less exposure and training in public spaces; inequitable power relations in spaces dominated by men where discriminatory practices are carried out and their technical capacities are disparaged; overload of work in the family environment that conditions their participation; and denial of gender equality based on cultural beliefs where it is considered that women are not able to represent all people on technical and political issues.</w:t>
      </w:r>
    </w:p>
    <w:p w14:paraId="08832B56"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06955D09" w14:textId="7CBA039D" w:rsidR="0011053F"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Finally, a common denominator was identified </w:t>
      </w:r>
      <w:r w:rsidR="009F605A" w:rsidRPr="00967C9B">
        <w:rPr>
          <w:rFonts w:ascii="Calibri" w:eastAsia="Times New Roman" w:hAnsi="Calibri" w:cs="Calibri"/>
          <w:color w:val="000000"/>
          <w:lang w:eastAsia="en-CA"/>
        </w:rPr>
        <w:t xml:space="preserve">concerning </w:t>
      </w:r>
      <w:r w:rsidRPr="00967C9B">
        <w:rPr>
          <w:rFonts w:ascii="Calibri" w:eastAsia="Times New Roman" w:hAnsi="Calibri" w:cs="Calibri"/>
          <w:color w:val="000000"/>
          <w:lang w:eastAsia="en-CA"/>
        </w:rPr>
        <w:t>youth that show</w:t>
      </w:r>
      <w:r w:rsidR="00F60B21" w:rsidRPr="00967C9B">
        <w:rPr>
          <w:rFonts w:ascii="Calibri" w:eastAsia="Times New Roman" w:hAnsi="Calibri" w:cs="Calibri"/>
          <w:color w:val="000000"/>
          <w:lang w:eastAsia="en-CA"/>
        </w:rPr>
        <w:t>ed</w:t>
      </w:r>
      <w:r w:rsidRPr="00967C9B">
        <w:rPr>
          <w:rFonts w:ascii="Calibri" w:eastAsia="Times New Roman" w:hAnsi="Calibri" w:cs="Calibri"/>
          <w:color w:val="000000"/>
          <w:lang w:eastAsia="en-CA"/>
        </w:rPr>
        <w:t xml:space="preserve"> disinterest and</w:t>
      </w:r>
      <w:r w:rsidR="00F60B21" w:rsidRPr="00967C9B">
        <w:rPr>
          <w:rFonts w:ascii="Calibri" w:eastAsia="Times New Roman" w:hAnsi="Calibri" w:cs="Calibri"/>
          <w:color w:val="000000"/>
          <w:lang w:eastAsia="en-CA"/>
        </w:rPr>
        <w:t xml:space="preserve"> a</w:t>
      </w:r>
      <w:r w:rsidRPr="00967C9B">
        <w:rPr>
          <w:rFonts w:ascii="Calibri" w:eastAsia="Times New Roman" w:hAnsi="Calibri" w:cs="Calibri"/>
          <w:color w:val="000000"/>
          <w:lang w:eastAsia="en-CA"/>
        </w:rPr>
        <w:t xml:space="preserve"> lack of motivation to participate in spaces of social participation in general and in water </w:t>
      </w:r>
      <w:proofErr w:type="gramStart"/>
      <w:r w:rsidRPr="00967C9B">
        <w:rPr>
          <w:rFonts w:ascii="Calibri" w:eastAsia="Times New Roman" w:hAnsi="Calibri" w:cs="Calibri"/>
          <w:color w:val="000000"/>
          <w:lang w:eastAsia="en-CA"/>
        </w:rPr>
        <w:t>governance in particular</w:t>
      </w:r>
      <w:proofErr w:type="gramEnd"/>
      <w:r w:rsidRPr="00967C9B">
        <w:rPr>
          <w:rFonts w:ascii="Calibri" w:eastAsia="Times New Roman" w:hAnsi="Calibri" w:cs="Calibri"/>
          <w:color w:val="000000"/>
          <w:lang w:eastAsia="en-CA"/>
        </w:rPr>
        <w:t xml:space="preserve">. </w:t>
      </w:r>
      <w:r w:rsidR="0011053F" w:rsidRPr="00967C9B">
        <w:rPr>
          <w:rFonts w:ascii="Calibri" w:eastAsia="Times New Roman" w:hAnsi="Calibri" w:cs="Calibri"/>
          <w:color w:val="000000"/>
          <w:lang w:eastAsia="en-CA"/>
        </w:rPr>
        <w:t xml:space="preserve">It was concluded that </w:t>
      </w:r>
      <w:r w:rsidR="004B65ED" w:rsidRPr="00967C9B">
        <w:rPr>
          <w:rFonts w:ascii="Calibri" w:eastAsia="Times New Roman" w:hAnsi="Calibri" w:cs="Calibri"/>
          <w:color w:val="000000"/>
          <w:lang w:eastAsia="en-CA"/>
        </w:rPr>
        <w:t xml:space="preserve">youth </w:t>
      </w:r>
      <w:r w:rsidR="0011053F" w:rsidRPr="00967C9B">
        <w:rPr>
          <w:rFonts w:ascii="Calibri" w:eastAsia="Times New Roman" w:hAnsi="Calibri" w:cs="Calibri"/>
          <w:color w:val="000000"/>
          <w:lang w:eastAsia="en-CA"/>
        </w:rPr>
        <w:t xml:space="preserve">are not integrated </w:t>
      </w:r>
      <w:r w:rsidR="004B65ED" w:rsidRPr="00967C9B">
        <w:rPr>
          <w:rFonts w:ascii="Calibri" w:eastAsia="Times New Roman" w:hAnsi="Calibri" w:cs="Calibri"/>
          <w:color w:val="000000"/>
          <w:lang w:eastAsia="en-CA"/>
        </w:rPr>
        <w:t>due to a</w:t>
      </w:r>
      <w:r w:rsidR="00B44BE2" w:rsidRPr="00967C9B">
        <w:rPr>
          <w:rFonts w:ascii="Calibri" w:eastAsia="Times New Roman" w:hAnsi="Calibri" w:cs="Calibri"/>
          <w:color w:val="000000"/>
          <w:lang w:eastAsia="en-CA"/>
        </w:rPr>
        <w:t xml:space="preserve"> </w:t>
      </w:r>
      <w:r w:rsidR="0011053F" w:rsidRPr="00967C9B">
        <w:rPr>
          <w:rFonts w:ascii="Calibri" w:eastAsia="Times New Roman" w:hAnsi="Calibri" w:cs="Calibri"/>
          <w:color w:val="000000"/>
          <w:lang w:eastAsia="en-CA"/>
        </w:rPr>
        <w:t>lack of involvement in activities that have traditionally been</w:t>
      </w:r>
      <w:r w:rsidR="004B65ED" w:rsidRPr="00967C9B">
        <w:rPr>
          <w:rFonts w:ascii="Calibri" w:eastAsia="Times New Roman" w:hAnsi="Calibri" w:cs="Calibri"/>
          <w:color w:val="000000"/>
          <w:lang w:eastAsia="en-CA"/>
        </w:rPr>
        <w:t xml:space="preserve"> the purview</w:t>
      </w:r>
      <w:r w:rsidR="0011053F" w:rsidRPr="00967C9B">
        <w:rPr>
          <w:rFonts w:ascii="Calibri" w:eastAsia="Times New Roman" w:hAnsi="Calibri" w:cs="Calibri"/>
          <w:color w:val="000000"/>
          <w:lang w:eastAsia="en-CA"/>
        </w:rPr>
        <w:t xml:space="preserve"> of </w:t>
      </w:r>
      <w:r w:rsidR="004B65ED" w:rsidRPr="00967C9B">
        <w:rPr>
          <w:rFonts w:ascii="Calibri" w:eastAsia="Times New Roman" w:hAnsi="Calibri" w:cs="Calibri"/>
          <w:color w:val="000000"/>
          <w:lang w:eastAsia="en-CA"/>
        </w:rPr>
        <w:t xml:space="preserve">older </w:t>
      </w:r>
      <w:r w:rsidR="0011053F" w:rsidRPr="00967C9B">
        <w:rPr>
          <w:rFonts w:ascii="Calibri" w:eastAsia="Times New Roman" w:hAnsi="Calibri" w:cs="Calibri"/>
          <w:color w:val="000000"/>
          <w:lang w:eastAsia="en-CA"/>
        </w:rPr>
        <w:t xml:space="preserve">men, and </w:t>
      </w:r>
      <w:r w:rsidR="004B65ED" w:rsidRPr="00967C9B">
        <w:rPr>
          <w:rFonts w:ascii="Calibri" w:eastAsia="Times New Roman" w:hAnsi="Calibri" w:cs="Calibri"/>
          <w:color w:val="000000"/>
          <w:lang w:eastAsia="en-CA"/>
        </w:rPr>
        <w:t xml:space="preserve">that youth </w:t>
      </w:r>
      <w:r w:rsidR="0011053F" w:rsidRPr="00967C9B">
        <w:rPr>
          <w:rFonts w:ascii="Calibri" w:eastAsia="Times New Roman" w:hAnsi="Calibri" w:cs="Calibri"/>
          <w:color w:val="000000"/>
          <w:lang w:eastAsia="en-CA"/>
        </w:rPr>
        <w:t xml:space="preserve">consider that there will </w:t>
      </w:r>
      <w:r w:rsidR="004B65ED" w:rsidRPr="00967C9B">
        <w:rPr>
          <w:rFonts w:ascii="Calibri" w:eastAsia="Times New Roman" w:hAnsi="Calibri" w:cs="Calibri"/>
          <w:color w:val="000000"/>
          <w:lang w:eastAsia="en-CA"/>
        </w:rPr>
        <w:t xml:space="preserve">be </w:t>
      </w:r>
      <w:r w:rsidR="0011053F" w:rsidRPr="00967C9B">
        <w:rPr>
          <w:rFonts w:ascii="Calibri" w:eastAsia="Times New Roman" w:hAnsi="Calibri" w:cs="Calibri"/>
          <w:color w:val="000000"/>
          <w:lang w:eastAsia="en-CA"/>
        </w:rPr>
        <w:t>little economic retribution</w:t>
      </w:r>
      <w:r w:rsidR="004B65ED" w:rsidRPr="00967C9B">
        <w:rPr>
          <w:rFonts w:ascii="Calibri" w:eastAsia="Times New Roman" w:hAnsi="Calibri" w:cs="Calibri"/>
          <w:color w:val="000000"/>
          <w:lang w:eastAsia="en-CA"/>
        </w:rPr>
        <w:t xml:space="preserve"> or benefit resulting from their participation</w:t>
      </w:r>
      <w:r w:rsidR="0011053F" w:rsidRPr="00967C9B">
        <w:rPr>
          <w:rFonts w:ascii="Calibri" w:eastAsia="Times New Roman" w:hAnsi="Calibri" w:cs="Calibri"/>
          <w:color w:val="000000"/>
          <w:lang w:eastAsia="en-CA"/>
        </w:rPr>
        <w:t xml:space="preserve">. </w:t>
      </w:r>
    </w:p>
    <w:p w14:paraId="61816603" w14:textId="76BA1C43" w:rsidR="009607B8" w:rsidRPr="00967C9B" w:rsidRDefault="002657D9" w:rsidP="00DD3961">
      <w:pPr>
        <w:pStyle w:val="Heading1"/>
        <w:jc w:val="both"/>
      </w:pPr>
      <w:bookmarkStart w:id="63" w:name="_Toc8644446"/>
      <w:bookmarkStart w:id="64" w:name="_Toc8644548"/>
      <w:r w:rsidRPr="00967C9B">
        <w:rPr>
          <w:rFonts w:asciiTheme="minorHAnsi" w:hAnsiTheme="minorHAnsi"/>
          <w:sz w:val="24"/>
          <w:szCs w:val="24"/>
        </w:rPr>
        <w:t>5</w:t>
      </w:r>
      <w:r w:rsidR="00141070" w:rsidRPr="00967C9B">
        <w:rPr>
          <w:rFonts w:asciiTheme="minorHAnsi" w:hAnsiTheme="minorHAnsi"/>
          <w:sz w:val="24"/>
          <w:szCs w:val="24"/>
        </w:rPr>
        <w:t xml:space="preserve">) </w:t>
      </w:r>
      <w:r w:rsidR="00574189" w:rsidRPr="00967C9B">
        <w:rPr>
          <w:rFonts w:asciiTheme="minorHAnsi" w:hAnsiTheme="minorHAnsi"/>
          <w:sz w:val="24"/>
          <w:szCs w:val="24"/>
        </w:rPr>
        <w:t xml:space="preserve">General </w:t>
      </w:r>
      <w:r w:rsidR="00141070" w:rsidRPr="00967C9B">
        <w:rPr>
          <w:rFonts w:asciiTheme="minorHAnsi" w:hAnsiTheme="minorHAnsi"/>
          <w:sz w:val="24"/>
          <w:szCs w:val="24"/>
        </w:rPr>
        <w:t>Description of actions and benefits</w:t>
      </w:r>
      <w:r w:rsidR="00915B78" w:rsidRPr="00967C9B">
        <w:rPr>
          <w:rFonts w:asciiTheme="minorHAnsi" w:hAnsiTheme="minorHAnsi"/>
          <w:sz w:val="24"/>
          <w:szCs w:val="24"/>
        </w:rPr>
        <w:t xml:space="preserve"> for gender integration</w:t>
      </w:r>
      <w:bookmarkEnd w:id="63"/>
      <w:bookmarkEnd w:id="64"/>
      <w:r w:rsidR="00141070" w:rsidRPr="00967C9B">
        <w:rPr>
          <w:rFonts w:asciiTheme="minorHAnsi" w:hAnsiTheme="minorHAnsi"/>
          <w:sz w:val="24"/>
          <w:szCs w:val="24"/>
        </w:rPr>
        <w:t xml:space="preserve"> </w:t>
      </w:r>
    </w:p>
    <w:p w14:paraId="7A31811D" w14:textId="2B6E9CC6" w:rsidR="009607B8" w:rsidRPr="00967C9B" w:rsidRDefault="009607B8"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The project focuses on working on governance aspects as a catalyst for several important changes that the binational basins require to improve their current conditions. The present project is limited to working on the issue of governance at the binational basins level.</w:t>
      </w:r>
    </w:p>
    <w:p w14:paraId="5D00AA60" w14:textId="77777777" w:rsidR="003A070F" w:rsidRPr="00967C9B" w:rsidRDefault="003A070F" w:rsidP="00DD3961">
      <w:pPr>
        <w:spacing w:after="0" w:line="240" w:lineRule="auto"/>
        <w:jc w:val="both"/>
        <w:rPr>
          <w:rFonts w:ascii="Times New Roman" w:eastAsia="Times New Roman" w:hAnsi="Times New Roman" w:cs="Times New Roman"/>
          <w:sz w:val="24"/>
          <w:szCs w:val="24"/>
          <w:lang w:eastAsia="en-CA"/>
        </w:rPr>
      </w:pPr>
    </w:p>
    <w:p w14:paraId="06FF1FDB" w14:textId="1BF221DC" w:rsidR="009607B8" w:rsidRPr="00967C9B" w:rsidRDefault="009607B8"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In the diagnostic phase, several conditions of gender inequality linked to governance at the local level were identified. These conditions must be </w:t>
      </w:r>
      <w:proofErr w:type="gramStart"/>
      <w:r w:rsidRPr="00967C9B">
        <w:rPr>
          <w:rFonts w:ascii="Calibri" w:eastAsia="Times New Roman" w:hAnsi="Calibri" w:cs="Calibri"/>
          <w:color w:val="000000"/>
          <w:lang w:eastAsia="en-CA"/>
        </w:rPr>
        <w:t>taken into account</w:t>
      </w:r>
      <w:proofErr w:type="gramEnd"/>
      <w:r w:rsidRPr="00967C9B">
        <w:rPr>
          <w:rFonts w:ascii="Calibri" w:eastAsia="Times New Roman" w:hAnsi="Calibri" w:cs="Calibri"/>
          <w:color w:val="000000"/>
          <w:lang w:eastAsia="en-CA"/>
        </w:rPr>
        <w:t xml:space="preserve"> in a referential way for the execution of the project, however, they do not fall under its direct influence.</w:t>
      </w:r>
    </w:p>
    <w:p w14:paraId="0475C950" w14:textId="77777777" w:rsidR="009607B8" w:rsidRPr="00967C9B" w:rsidRDefault="009607B8" w:rsidP="00DD3961">
      <w:pPr>
        <w:spacing w:after="0" w:line="240" w:lineRule="auto"/>
        <w:jc w:val="both"/>
        <w:rPr>
          <w:rFonts w:ascii="Times New Roman" w:eastAsia="Times New Roman" w:hAnsi="Times New Roman" w:cs="Times New Roman"/>
          <w:sz w:val="24"/>
          <w:szCs w:val="24"/>
          <w:lang w:eastAsia="en-CA"/>
        </w:rPr>
      </w:pPr>
    </w:p>
    <w:p w14:paraId="7118761B" w14:textId="0A8DC187" w:rsidR="00141070" w:rsidRPr="00967C9B" w:rsidRDefault="003A070F"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However,</w:t>
      </w:r>
      <w:r w:rsidRPr="00967C9B">
        <w:rPr>
          <w:rFonts w:ascii="Times New Roman" w:eastAsia="Times New Roman" w:hAnsi="Times New Roman" w:cs="Times New Roman"/>
          <w:sz w:val="24"/>
          <w:szCs w:val="24"/>
          <w:lang w:eastAsia="en-CA"/>
        </w:rPr>
        <w:t xml:space="preserve"> </w:t>
      </w:r>
      <w:r w:rsidR="00141070" w:rsidRPr="00967C9B">
        <w:rPr>
          <w:rFonts w:ascii="Calibri" w:eastAsia="Times New Roman" w:hAnsi="Calibri" w:cs="Calibri"/>
          <w:color w:val="000000"/>
          <w:lang w:eastAsia="en-CA"/>
        </w:rPr>
        <w:t>the limitations of participation, decision-making and benefits between men and women, identified in the context of the governance of water in the project basins</w:t>
      </w:r>
      <w:r w:rsidR="00054A68" w:rsidRPr="00967C9B">
        <w:rPr>
          <w:rFonts w:ascii="Calibri" w:eastAsia="Times New Roman" w:hAnsi="Calibri" w:cs="Calibri"/>
          <w:color w:val="000000"/>
          <w:lang w:eastAsia="en-CA"/>
        </w:rPr>
        <w:t xml:space="preserve">, </w:t>
      </w:r>
      <w:r w:rsidR="00141070" w:rsidRPr="00967C9B">
        <w:rPr>
          <w:rFonts w:ascii="Calibri" w:eastAsia="Times New Roman" w:hAnsi="Calibri" w:cs="Calibri"/>
          <w:color w:val="000000"/>
          <w:lang w:eastAsia="en-CA"/>
        </w:rPr>
        <w:t>the</w:t>
      </w:r>
      <w:r w:rsidR="00BF75E7" w:rsidRPr="00967C9B">
        <w:t xml:space="preserve"> decision-making spaces</w:t>
      </w:r>
      <w:r w:rsidR="00141070" w:rsidRPr="00967C9B">
        <w:rPr>
          <w:rFonts w:ascii="Calibri" w:eastAsia="Times New Roman" w:hAnsi="Calibri" w:cs="Calibri"/>
          <w:color w:val="000000"/>
          <w:lang w:eastAsia="en-CA"/>
        </w:rPr>
        <w:t xml:space="preserve"> and institutional arrangements of the project have been </w:t>
      </w:r>
      <w:r w:rsidR="009607B8" w:rsidRPr="00967C9B">
        <w:rPr>
          <w:rFonts w:ascii="Calibri" w:eastAsia="Times New Roman" w:hAnsi="Calibri" w:cs="Calibri"/>
          <w:color w:val="000000"/>
          <w:lang w:eastAsia="en-CA"/>
        </w:rPr>
        <w:t xml:space="preserve">integrated in the </w:t>
      </w:r>
      <w:r w:rsidR="00141070" w:rsidRPr="00967C9B">
        <w:rPr>
          <w:rFonts w:ascii="Calibri" w:eastAsia="Times New Roman" w:hAnsi="Calibri" w:cs="Calibri"/>
          <w:color w:val="000000"/>
          <w:lang w:eastAsia="en-CA"/>
        </w:rPr>
        <w:t>design</w:t>
      </w:r>
      <w:r w:rsidR="009607B8" w:rsidRPr="00967C9B">
        <w:rPr>
          <w:rFonts w:ascii="Calibri" w:eastAsia="Times New Roman" w:hAnsi="Calibri" w:cs="Calibri"/>
          <w:color w:val="000000"/>
          <w:lang w:eastAsia="en-CA"/>
        </w:rPr>
        <w:t xml:space="preserve"> </w:t>
      </w:r>
      <w:r w:rsidR="00141070" w:rsidRPr="00967C9B">
        <w:rPr>
          <w:rFonts w:ascii="Calibri" w:eastAsia="Times New Roman" w:hAnsi="Calibri" w:cs="Calibri"/>
          <w:color w:val="000000"/>
          <w:lang w:eastAsia="en-CA"/>
        </w:rPr>
        <w:t>in favo</w:t>
      </w:r>
      <w:r w:rsidR="002E4F8C" w:rsidRPr="00967C9B">
        <w:rPr>
          <w:rFonts w:ascii="Calibri" w:eastAsia="Times New Roman" w:hAnsi="Calibri" w:cs="Calibri"/>
          <w:color w:val="000000"/>
          <w:lang w:eastAsia="en-CA"/>
        </w:rPr>
        <w:t>u</w:t>
      </w:r>
      <w:r w:rsidR="00141070" w:rsidRPr="00967C9B">
        <w:rPr>
          <w:rFonts w:ascii="Calibri" w:eastAsia="Times New Roman" w:hAnsi="Calibri" w:cs="Calibri"/>
          <w:color w:val="000000"/>
          <w:lang w:eastAsia="en-CA"/>
        </w:rPr>
        <w:t xml:space="preserve">r of </w:t>
      </w:r>
      <w:r w:rsidR="004B65ED" w:rsidRPr="00967C9B">
        <w:rPr>
          <w:rFonts w:ascii="Calibri" w:eastAsia="Times New Roman" w:hAnsi="Calibri" w:cs="Calibri"/>
          <w:color w:val="000000"/>
          <w:lang w:eastAsia="en-CA"/>
        </w:rPr>
        <w:t xml:space="preserve">addressing </w:t>
      </w:r>
      <w:r w:rsidR="00141070" w:rsidRPr="00967C9B">
        <w:rPr>
          <w:rFonts w:ascii="Calibri" w:eastAsia="Times New Roman" w:hAnsi="Calibri" w:cs="Calibri"/>
          <w:color w:val="000000"/>
          <w:lang w:eastAsia="en-CA"/>
        </w:rPr>
        <w:t>the inequality of women's participation</w:t>
      </w:r>
      <w:r w:rsidR="00054A68"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The strategy of the project has </w:t>
      </w:r>
      <w:r w:rsidR="00616EA5" w:rsidRPr="00967C9B">
        <w:rPr>
          <w:rFonts w:ascii="Calibri" w:eastAsia="Times New Roman" w:hAnsi="Calibri" w:cs="Calibri"/>
          <w:color w:val="000000"/>
          <w:lang w:eastAsia="en-CA"/>
        </w:rPr>
        <w:t>integrated the</w:t>
      </w:r>
      <w:r w:rsidR="00141070" w:rsidRPr="00967C9B">
        <w:rPr>
          <w:rFonts w:ascii="Calibri" w:eastAsia="Times New Roman" w:hAnsi="Calibri" w:cs="Calibri"/>
          <w:color w:val="000000"/>
          <w:lang w:eastAsia="en-CA"/>
        </w:rPr>
        <w:t xml:space="preserve"> following points</w:t>
      </w:r>
      <w:r w:rsidR="008275D1" w:rsidRPr="00967C9B">
        <w:rPr>
          <w:rStyle w:val="FootnoteReference"/>
          <w:rFonts w:ascii="Calibri" w:eastAsia="Times New Roman" w:hAnsi="Calibri" w:cs="Calibri"/>
          <w:color w:val="000000"/>
          <w:lang w:eastAsia="en-CA"/>
        </w:rPr>
        <w:footnoteReference w:id="24"/>
      </w:r>
      <w:r w:rsidR="00141070" w:rsidRPr="00967C9B">
        <w:rPr>
          <w:rFonts w:ascii="Calibri" w:eastAsia="Times New Roman" w:hAnsi="Calibri" w:cs="Calibri"/>
          <w:color w:val="000000"/>
          <w:lang w:eastAsia="en-CA"/>
        </w:rPr>
        <w:t xml:space="preserve"> </w:t>
      </w:r>
      <w:r w:rsidR="009607B8" w:rsidRPr="00967C9B">
        <w:rPr>
          <w:rFonts w:ascii="Calibri" w:eastAsia="Times New Roman" w:hAnsi="Calibri" w:cs="Calibri"/>
          <w:color w:val="000000"/>
          <w:lang w:eastAsia="en-CA"/>
        </w:rPr>
        <w:t xml:space="preserve"> through which </w:t>
      </w:r>
      <w:r w:rsidR="00141070" w:rsidRPr="00967C9B">
        <w:rPr>
          <w:rFonts w:ascii="Calibri" w:eastAsia="Times New Roman" w:hAnsi="Calibri" w:cs="Calibri"/>
          <w:color w:val="000000"/>
          <w:lang w:eastAsia="en-CA"/>
        </w:rPr>
        <w:t>the inclusion of the gender</w:t>
      </w:r>
      <w:r w:rsidR="00696F47" w:rsidRPr="00967C9B">
        <w:rPr>
          <w:rFonts w:ascii="Calibri" w:eastAsia="Times New Roman" w:hAnsi="Calibri" w:cs="Calibri"/>
          <w:color w:val="000000"/>
          <w:lang w:eastAsia="en-CA"/>
        </w:rPr>
        <w:t>-</w:t>
      </w:r>
      <w:r w:rsidR="00141070" w:rsidRPr="00967C9B">
        <w:rPr>
          <w:rFonts w:ascii="Calibri" w:eastAsia="Times New Roman" w:hAnsi="Calibri" w:cs="Calibri"/>
          <w:color w:val="000000"/>
          <w:lang w:eastAsia="en-CA"/>
        </w:rPr>
        <w:t xml:space="preserve"> </w:t>
      </w:r>
      <w:r w:rsidR="00426EC2" w:rsidRPr="00967C9B">
        <w:rPr>
          <w:rFonts w:ascii="Calibri" w:eastAsia="Times New Roman" w:hAnsi="Calibri" w:cs="Calibri"/>
          <w:color w:val="000000"/>
          <w:lang w:eastAsia="en-CA"/>
        </w:rPr>
        <w:t xml:space="preserve">responsive </w:t>
      </w:r>
      <w:r w:rsidR="00141070" w:rsidRPr="00967C9B">
        <w:rPr>
          <w:rFonts w:ascii="Calibri" w:eastAsia="Times New Roman" w:hAnsi="Calibri" w:cs="Calibri"/>
          <w:color w:val="000000"/>
          <w:lang w:eastAsia="en-CA"/>
        </w:rPr>
        <w:t xml:space="preserve">approach </w:t>
      </w:r>
      <w:r w:rsidR="00616EA5" w:rsidRPr="00967C9B">
        <w:rPr>
          <w:rFonts w:ascii="Calibri" w:eastAsia="Times New Roman" w:hAnsi="Calibri" w:cs="Calibri"/>
          <w:color w:val="000000"/>
          <w:lang w:eastAsia="en-CA"/>
        </w:rPr>
        <w:t>will be</w:t>
      </w:r>
      <w:r w:rsidR="009607B8" w:rsidRPr="00967C9B">
        <w:rPr>
          <w:rFonts w:ascii="Calibri" w:eastAsia="Times New Roman" w:hAnsi="Calibri" w:cs="Calibri"/>
          <w:color w:val="000000"/>
          <w:lang w:eastAsia="en-CA"/>
        </w:rPr>
        <w:t xml:space="preserve"> </w:t>
      </w:r>
      <w:r w:rsidR="004B65ED" w:rsidRPr="00967C9B">
        <w:rPr>
          <w:rFonts w:ascii="Calibri" w:eastAsia="Times New Roman" w:hAnsi="Calibri" w:cs="Calibri"/>
          <w:color w:val="000000"/>
          <w:lang w:eastAsia="en-CA"/>
        </w:rPr>
        <w:t>ensure</w:t>
      </w:r>
      <w:r w:rsidR="009607B8" w:rsidRPr="00967C9B">
        <w:rPr>
          <w:rFonts w:ascii="Calibri" w:eastAsia="Times New Roman" w:hAnsi="Calibri" w:cs="Calibri"/>
          <w:color w:val="000000"/>
          <w:lang w:eastAsia="en-CA"/>
        </w:rPr>
        <w:t>d</w:t>
      </w:r>
      <w:r w:rsidR="00141070" w:rsidRPr="00967C9B">
        <w:rPr>
          <w:rFonts w:ascii="Calibri" w:eastAsia="Times New Roman" w:hAnsi="Calibri" w:cs="Calibri"/>
          <w:color w:val="000000"/>
          <w:lang w:eastAsia="en-CA"/>
        </w:rPr>
        <w:t>:</w:t>
      </w:r>
      <w:r w:rsidR="002E4F8C" w:rsidRPr="00967C9B">
        <w:rPr>
          <w:rFonts w:ascii="Calibri" w:eastAsia="Times New Roman" w:hAnsi="Calibri" w:cs="Calibri"/>
          <w:color w:val="000000"/>
          <w:lang w:eastAsia="en-CA"/>
        </w:rPr>
        <w:t xml:space="preserve">   </w:t>
      </w:r>
    </w:p>
    <w:p w14:paraId="0729A7C2" w14:textId="77777777" w:rsidR="009204F3" w:rsidRPr="00967C9B" w:rsidRDefault="009204F3" w:rsidP="00DD3961">
      <w:pPr>
        <w:spacing w:after="0" w:line="240" w:lineRule="auto"/>
        <w:jc w:val="both"/>
        <w:rPr>
          <w:rFonts w:ascii="Calibri" w:eastAsia="Times New Roman" w:hAnsi="Calibri" w:cs="Calibri"/>
          <w:color w:val="000000"/>
          <w:lang w:eastAsia="en-CA"/>
        </w:rPr>
      </w:pPr>
    </w:p>
    <w:p w14:paraId="64156B8E" w14:textId="77777777" w:rsidR="009204F3" w:rsidRPr="00967C9B" w:rsidRDefault="009204F3" w:rsidP="00DD3961">
      <w:pPr>
        <w:spacing w:after="0" w:line="240" w:lineRule="auto"/>
        <w:jc w:val="both"/>
        <w:rPr>
          <w:rFonts w:ascii="Calibri" w:eastAsia="Times New Roman" w:hAnsi="Calibri" w:cs="Calibri"/>
          <w:color w:val="000000"/>
          <w:lang w:eastAsia="en-CA"/>
        </w:rPr>
      </w:pPr>
    </w:p>
    <w:p w14:paraId="24CC1BA0" w14:textId="77777777" w:rsidR="009204F3" w:rsidRPr="00967C9B" w:rsidRDefault="009204F3" w:rsidP="003A070F">
      <w:pPr>
        <w:spacing w:after="0" w:line="240" w:lineRule="auto"/>
        <w:rPr>
          <w:rFonts w:ascii="Times New Roman" w:eastAsia="Times New Roman" w:hAnsi="Times New Roman" w:cs="Times New Roman"/>
          <w:sz w:val="24"/>
          <w:szCs w:val="24"/>
          <w:lang w:eastAsia="en-CA"/>
        </w:rPr>
      </w:pPr>
    </w:p>
    <w:p w14:paraId="5277E8D0"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p w14:paraId="5D2B48E8" w14:textId="267C81C5" w:rsidR="00141070" w:rsidRPr="00967C9B" w:rsidRDefault="00141070" w:rsidP="00DD3961">
      <w:pPr>
        <w:numPr>
          <w:ilvl w:val="0"/>
          <w:numId w:val="1"/>
        </w:numPr>
        <w:spacing w:after="0" w:line="240" w:lineRule="auto"/>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Specialized personnel are integrated into the project team to ensure that the execution of the project has technical support for carrying out the activities.</w:t>
      </w:r>
      <w:r w:rsidR="008275D1" w:rsidRPr="00967C9B">
        <w:rPr>
          <w:rFonts w:ascii="Calibri" w:eastAsia="Times New Roman" w:hAnsi="Calibri" w:cs="Calibri"/>
          <w:color w:val="000000"/>
          <w:lang w:eastAsia="en-CA"/>
        </w:rPr>
        <w:t xml:space="preserve"> For example, during the process of information and consultation of the project in the construction of the </w:t>
      </w:r>
      <w:r w:rsidR="009204F3" w:rsidRPr="00967C9B">
        <w:rPr>
          <w:rFonts w:ascii="Calibri" w:eastAsia="Times New Roman" w:hAnsi="Calibri" w:cs="Calibri"/>
          <w:color w:val="000000"/>
          <w:lang w:eastAsia="en-CA"/>
        </w:rPr>
        <w:t>SAP (Strategic Action Program),</w:t>
      </w:r>
      <w:r w:rsidR="008275D1" w:rsidRPr="00967C9B">
        <w:rPr>
          <w:rFonts w:ascii="Calibri" w:eastAsia="Times New Roman" w:hAnsi="Calibri" w:cs="Calibri"/>
          <w:color w:val="000000"/>
          <w:lang w:eastAsia="en-CA"/>
        </w:rPr>
        <w:t xml:space="preserve"> specialized personnel are hired to use the appropriate methodologies and communication strategies for the people of the communities. These personnel must have a gender perspective in their training.</w:t>
      </w:r>
    </w:p>
    <w:p w14:paraId="6098C1D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F518C4E" w14:textId="1C21200B" w:rsidR="00141070" w:rsidRPr="00967C9B" w:rsidRDefault="00141070" w:rsidP="00DD3961">
      <w:pPr>
        <w:numPr>
          <w:ilvl w:val="0"/>
          <w:numId w:val="2"/>
        </w:numPr>
        <w:spacing w:after="0" w:line="240" w:lineRule="auto"/>
        <w:jc w:val="both"/>
        <w:textAlignment w:val="baseline"/>
        <w:rPr>
          <w:rFonts w:ascii="Calibri" w:eastAsia="Times New Roman" w:hAnsi="Calibri" w:cs="Calibri"/>
          <w:color w:val="000000"/>
          <w:lang w:eastAsia="en-CA"/>
        </w:rPr>
      </w:pPr>
      <w:r w:rsidRPr="00967C9B">
        <w:rPr>
          <w:rFonts w:ascii="Calibri" w:eastAsia="Times New Roman" w:hAnsi="Calibri" w:cs="Calibri"/>
          <w:color w:val="000000"/>
          <w:lang w:eastAsia="en-CA"/>
        </w:rPr>
        <w:t>Stud</w:t>
      </w:r>
      <w:r w:rsidR="00696F47" w:rsidRPr="00967C9B">
        <w:rPr>
          <w:rFonts w:ascii="Calibri" w:eastAsia="Times New Roman" w:hAnsi="Calibri" w:cs="Calibri"/>
          <w:color w:val="000000"/>
          <w:lang w:eastAsia="en-CA"/>
        </w:rPr>
        <w:t>y</w:t>
      </w:r>
      <w:r w:rsidRPr="00967C9B">
        <w:rPr>
          <w:rFonts w:ascii="Calibri" w:eastAsia="Times New Roman" w:hAnsi="Calibri" w:cs="Calibri"/>
          <w:color w:val="000000"/>
          <w:lang w:eastAsia="en-CA"/>
        </w:rPr>
        <w:t xml:space="preserve"> of gender and water governance, in addition to the collection and organization of information.</w:t>
      </w:r>
      <w:r w:rsidR="00A84D5B" w:rsidRPr="00967C9B">
        <w:rPr>
          <w:rFonts w:ascii="Calibri" w:eastAsia="Times New Roman" w:hAnsi="Calibri" w:cs="Calibri"/>
          <w:color w:val="000000"/>
          <w:lang w:eastAsia="en-CA"/>
        </w:rPr>
        <w:t xml:space="preserve"> </w:t>
      </w:r>
      <w:r w:rsidR="00696F47" w:rsidRPr="00967C9B">
        <w:rPr>
          <w:rFonts w:ascii="Calibri" w:eastAsia="Times New Roman" w:hAnsi="Calibri" w:cs="Calibri"/>
          <w:color w:val="000000"/>
          <w:lang w:eastAsia="en-CA"/>
        </w:rPr>
        <w:t>This information</w:t>
      </w:r>
      <w:r w:rsidR="00A84D5B" w:rsidRPr="00967C9B">
        <w:rPr>
          <w:rFonts w:ascii="Calibri" w:eastAsia="Times New Roman" w:hAnsi="Calibri" w:cs="Calibri"/>
          <w:color w:val="000000"/>
          <w:lang w:eastAsia="en-CA"/>
        </w:rPr>
        <w:t xml:space="preserve"> will include </w:t>
      </w:r>
      <w:r w:rsidR="00E87CC2" w:rsidRPr="00967C9B">
        <w:rPr>
          <w:rFonts w:ascii="Calibri" w:eastAsia="Times New Roman" w:hAnsi="Calibri" w:cs="Calibri"/>
          <w:color w:val="000000"/>
          <w:lang w:eastAsia="en-CA"/>
        </w:rPr>
        <w:t>the analysis of the water boards on gender equality (conditions for participation of women, men and youth, as well as intercultural approach)</w:t>
      </w:r>
      <w:r w:rsidR="00696F47" w:rsidRPr="00967C9B">
        <w:rPr>
          <w:rFonts w:ascii="Calibri" w:eastAsia="Times New Roman" w:hAnsi="Calibri" w:cs="Calibri"/>
          <w:color w:val="000000"/>
          <w:lang w:eastAsia="en-CA"/>
        </w:rPr>
        <w:t xml:space="preserve"> </w:t>
      </w:r>
      <w:r w:rsidR="008275D1" w:rsidRPr="00967C9B">
        <w:rPr>
          <w:rFonts w:ascii="Calibri" w:eastAsia="Times New Roman" w:hAnsi="Calibri" w:cs="Calibri"/>
          <w:color w:val="000000"/>
          <w:lang w:eastAsia="en-CA"/>
        </w:rPr>
        <w:t>to be taken as</w:t>
      </w:r>
      <w:r w:rsidR="00696F47" w:rsidRPr="00967C9B">
        <w:rPr>
          <w:rFonts w:ascii="Calibri" w:eastAsia="Times New Roman" w:hAnsi="Calibri" w:cs="Calibri"/>
          <w:color w:val="000000"/>
          <w:lang w:eastAsia="en-CA"/>
        </w:rPr>
        <w:t xml:space="preserve"> the base for developing the TDA.</w:t>
      </w:r>
    </w:p>
    <w:p w14:paraId="56806A72"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78076A7" w14:textId="37553414" w:rsidR="00141070" w:rsidRPr="00967C9B" w:rsidRDefault="00141070" w:rsidP="00DD3961">
      <w:pPr>
        <w:numPr>
          <w:ilvl w:val="0"/>
          <w:numId w:val="3"/>
        </w:numPr>
        <w:spacing w:after="0" w:line="240" w:lineRule="auto"/>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Minimum percentages of participation are integrated in all project activities. In the decision-making spaces, a minimum </w:t>
      </w:r>
      <w:r w:rsidR="004B65ED" w:rsidRPr="00967C9B">
        <w:rPr>
          <w:rFonts w:ascii="Calibri" w:eastAsia="Times New Roman" w:hAnsi="Calibri" w:cs="Calibri"/>
          <w:color w:val="000000"/>
          <w:lang w:eastAsia="en-CA"/>
        </w:rPr>
        <w:t xml:space="preserve">of </w:t>
      </w:r>
      <w:r w:rsidRPr="00967C9B">
        <w:rPr>
          <w:rFonts w:ascii="Calibri" w:eastAsia="Times New Roman" w:hAnsi="Calibri" w:cs="Calibri"/>
          <w:color w:val="000000"/>
          <w:lang w:eastAsia="en-CA"/>
        </w:rPr>
        <w:t>40% participation of women has been determined (Development of the TDA and SAP) and in the local spaces at the level of the basins, a minimum of 30% has been determined.</w:t>
      </w:r>
      <w:r w:rsidR="005A0AFF" w:rsidRPr="00967C9B">
        <w:rPr>
          <w:rStyle w:val="FootnoteReference"/>
          <w:rFonts w:ascii="Calibri" w:eastAsia="Times New Roman" w:hAnsi="Calibri" w:cs="Calibri"/>
          <w:color w:val="000000"/>
          <w:lang w:eastAsia="en-CA"/>
        </w:rPr>
        <w:footnoteReference w:id="25"/>
      </w:r>
      <w:r w:rsidRPr="00967C9B">
        <w:rPr>
          <w:rFonts w:ascii="Calibri" w:eastAsia="Times New Roman" w:hAnsi="Calibri" w:cs="Calibri"/>
          <w:color w:val="000000"/>
          <w:lang w:eastAsia="en-CA"/>
        </w:rPr>
        <w:t xml:space="preserve"> </w:t>
      </w:r>
    </w:p>
    <w:p w14:paraId="365492F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65973E09" w14:textId="4ACE292B" w:rsidR="00141070" w:rsidRPr="00967C9B" w:rsidRDefault="00141070" w:rsidP="00DD3961">
      <w:pPr>
        <w:numPr>
          <w:ilvl w:val="0"/>
          <w:numId w:val="4"/>
        </w:numPr>
        <w:spacing w:after="0" w:line="240" w:lineRule="auto"/>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The use of participation formats </w:t>
      </w:r>
      <w:r w:rsidR="008275D1" w:rsidRPr="00967C9B">
        <w:rPr>
          <w:rFonts w:ascii="Calibri" w:eastAsia="Times New Roman" w:hAnsi="Calibri" w:cs="Calibri"/>
          <w:color w:val="000000"/>
          <w:lang w:eastAsia="en-CA"/>
        </w:rPr>
        <w:t xml:space="preserve">and report mechanisms </w:t>
      </w:r>
      <w:r w:rsidRPr="00967C9B">
        <w:rPr>
          <w:rFonts w:ascii="Calibri" w:eastAsia="Times New Roman" w:hAnsi="Calibri" w:cs="Calibri"/>
          <w:color w:val="000000"/>
          <w:lang w:eastAsia="en-CA"/>
        </w:rPr>
        <w:t xml:space="preserve">disaggregated by sex in all the activities carried out by the project is </w:t>
      </w:r>
      <w:r w:rsidR="00054A68" w:rsidRPr="00967C9B">
        <w:rPr>
          <w:rFonts w:ascii="Calibri" w:eastAsia="Times New Roman" w:hAnsi="Calibri" w:cs="Calibri"/>
          <w:color w:val="000000"/>
          <w:lang w:eastAsia="en-CA"/>
        </w:rPr>
        <w:t>mandated</w:t>
      </w:r>
      <w:r w:rsidRPr="00967C9B">
        <w:rPr>
          <w:rFonts w:ascii="Calibri" w:eastAsia="Times New Roman" w:hAnsi="Calibri" w:cs="Calibri"/>
          <w:color w:val="000000"/>
          <w:lang w:eastAsia="en-CA"/>
        </w:rPr>
        <w:t xml:space="preserve">. </w:t>
      </w:r>
    </w:p>
    <w:p w14:paraId="7633C877"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3B9E7E55" w14:textId="7DD0EA3C" w:rsidR="00141070" w:rsidRPr="00967C9B" w:rsidRDefault="008275D1" w:rsidP="00DD3961">
      <w:pPr>
        <w:numPr>
          <w:ilvl w:val="0"/>
          <w:numId w:val="5"/>
        </w:numPr>
        <w:spacing w:after="0" w:line="240" w:lineRule="auto"/>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A project team sensitized with a training process for</w:t>
      </w:r>
      <w:r w:rsidR="00141070" w:rsidRPr="00967C9B">
        <w:rPr>
          <w:rFonts w:ascii="Calibri" w:eastAsia="Times New Roman" w:hAnsi="Calibri" w:cs="Calibri"/>
          <w:color w:val="000000"/>
          <w:lang w:eastAsia="en-CA"/>
        </w:rPr>
        <w:t xml:space="preserve"> hav</w:t>
      </w:r>
      <w:r w:rsidRPr="00967C9B">
        <w:rPr>
          <w:rFonts w:ascii="Calibri" w:eastAsia="Times New Roman" w:hAnsi="Calibri" w:cs="Calibri"/>
          <w:color w:val="000000"/>
          <w:lang w:eastAsia="en-CA"/>
        </w:rPr>
        <w:t>ing</w:t>
      </w:r>
      <w:r w:rsidR="00141070" w:rsidRPr="00967C9B">
        <w:rPr>
          <w:rFonts w:ascii="Calibri" w:eastAsia="Times New Roman" w:hAnsi="Calibri" w:cs="Calibri"/>
          <w:color w:val="000000"/>
          <w:lang w:eastAsia="en-CA"/>
        </w:rPr>
        <w:t xml:space="preserve"> a gender </w:t>
      </w:r>
      <w:r w:rsidR="00426EC2" w:rsidRPr="00967C9B">
        <w:rPr>
          <w:rFonts w:ascii="Calibri" w:eastAsia="Times New Roman" w:hAnsi="Calibri" w:cs="Calibri"/>
          <w:color w:val="000000"/>
          <w:lang w:eastAsia="en-CA"/>
        </w:rPr>
        <w:t xml:space="preserve">responsive </w:t>
      </w:r>
      <w:r w:rsidR="00141070" w:rsidRPr="00967C9B">
        <w:rPr>
          <w:rFonts w:ascii="Calibri" w:eastAsia="Times New Roman" w:hAnsi="Calibri" w:cs="Calibri"/>
          <w:color w:val="000000"/>
          <w:lang w:eastAsia="en-CA"/>
        </w:rPr>
        <w:t xml:space="preserve">approach in the </w:t>
      </w:r>
      <w:r w:rsidRPr="00967C9B">
        <w:rPr>
          <w:rFonts w:ascii="Calibri" w:eastAsia="Times New Roman" w:hAnsi="Calibri" w:cs="Calibri"/>
          <w:color w:val="000000"/>
          <w:lang w:eastAsia="en-CA"/>
        </w:rPr>
        <w:t xml:space="preserve">whole </w:t>
      </w:r>
      <w:r w:rsidR="00141070" w:rsidRPr="00967C9B">
        <w:rPr>
          <w:rFonts w:ascii="Calibri" w:eastAsia="Times New Roman" w:hAnsi="Calibri" w:cs="Calibri"/>
          <w:color w:val="000000"/>
          <w:lang w:eastAsia="en-CA"/>
        </w:rPr>
        <w:t>execution of the project.</w:t>
      </w:r>
    </w:p>
    <w:p w14:paraId="4A615B85"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400D296" w14:textId="747B5D32" w:rsidR="00141070" w:rsidRPr="00967C9B" w:rsidRDefault="00141070" w:rsidP="00DD3961">
      <w:pPr>
        <w:numPr>
          <w:ilvl w:val="0"/>
          <w:numId w:val="6"/>
        </w:numPr>
        <w:spacing w:after="0" w:line="240" w:lineRule="auto"/>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Regular meetings have been established to support women</w:t>
      </w:r>
      <w:r w:rsidR="008275D1" w:rsidRPr="00967C9B">
        <w:rPr>
          <w:rFonts w:ascii="Calibri" w:eastAsia="Times New Roman" w:hAnsi="Calibri" w:cs="Calibri"/>
          <w:color w:val="000000"/>
          <w:lang w:eastAsia="en-CA"/>
        </w:rPr>
        <w:t xml:space="preserve"> organizations</w:t>
      </w:r>
      <w:r w:rsidRPr="00967C9B">
        <w:rPr>
          <w:rFonts w:ascii="Calibri" w:eastAsia="Times New Roman" w:hAnsi="Calibri" w:cs="Calibri"/>
          <w:color w:val="000000"/>
          <w:lang w:eastAsia="en-CA"/>
        </w:rPr>
        <w:t xml:space="preserve"> in the basins</w:t>
      </w:r>
      <w:r w:rsidR="008275D1" w:rsidRPr="00967C9B">
        <w:rPr>
          <w:rFonts w:ascii="Calibri" w:eastAsia="Times New Roman" w:hAnsi="Calibri" w:cs="Calibri"/>
          <w:color w:val="000000"/>
          <w:lang w:eastAsia="en-CA"/>
        </w:rPr>
        <w:t xml:space="preserve"> levels</w:t>
      </w:r>
      <w:r w:rsidRPr="00967C9B">
        <w:rPr>
          <w:rFonts w:ascii="Calibri" w:eastAsia="Times New Roman" w:hAnsi="Calibri" w:cs="Calibri"/>
          <w:color w:val="000000"/>
          <w:lang w:eastAsia="en-CA"/>
        </w:rPr>
        <w:t xml:space="preserve"> as </w:t>
      </w:r>
      <w:r w:rsidR="008275D1" w:rsidRPr="00967C9B">
        <w:rPr>
          <w:rFonts w:ascii="Calibri" w:eastAsia="Times New Roman" w:hAnsi="Calibri" w:cs="Calibri"/>
          <w:color w:val="000000"/>
          <w:lang w:eastAsia="en-CA"/>
        </w:rPr>
        <w:t xml:space="preserve">a mean </w:t>
      </w:r>
      <w:r w:rsidRPr="00967C9B">
        <w:rPr>
          <w:rFonts w:ascii="Calibri" w:eastAsia="Times New Roman" w:hAnsi="Calibri" w:cs="Calibri"/>
          <w:color w:val="000000"/>
          <w:lang w:eastAsia="en-CA"/>
        </w:rPr>
        <w:t>to strengthen their organizational mechanisms</w:t>
      </w:r>
      <w:r w:rsidR="008275D1" w:rsidRPr="00967C9B">
        <w:rPr>
          <w:rFonts w:ascii="Calibri" w:eastAsia="Times New Roman" w:hAnsi="Calibri" w:cs="Calibri"/>
          <w:color w:val="000000"/>
          <w:lang w:eastAsia="en-CA"/>
        </w:rPr>
        <w:t xml:space="preserve"> and monitor their participation and involvement to the project activities.</w:t>
      </w:r>
    </w:p>
    <w:p w14:paraId="7E9B9317"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30BF312F" w14:textId="6D965426" w:rsidR="003C6F27" w:rsidRPr="00967C9B" w:rsidRDefault="00141070" w:rsidP="00DD3961">
      <w:pPr>
        <w:spacing w:after="0" w:line="240" w:lineRule="auto"/>
        <w:jc w:val="both"/>
        <w:textAlignment w:val="baseline"/>
        <w:rPr>
          <w:rFonts w:ascii="Calibri" w:eastAsia="Times New Roman" w:hAnsi="Calibri" w:cs="Calibri"/>
          <w:color w:val="000000"/>
          <w:lang w:eastAsia="en-CA"/>
        </w:rPr>
      </w:pPr>
      <w:r w:rsidRPr="00967C9B">
        <w:rPr>
          <w:rFonts w:ascii="Calibri" w:eastAsia="Times New Roman" w:hAnsi="Calibri" w:cs="Calibri"/>
          <w:color w:val="000000"/>
          <w:lang w:eastAsia="en-CA"/>
        </w:rPr>
        <w:t>During the process of information and consultation of the project in the construction of the SAP</w:t>
      </w:r>
      <w:r w:rsidR="00DC46E0" w:rsidRPr="00967C9B">
        <w:rPr>
          <w:rFonts w:ascii="Calibri" w:eastAsia="Times New Roman" w:hAnsi="Calibri" w:cs="Calibri"/>
          <w:color w:val="000000"/>
          <w:lang w:eastAsia="en-CA"/>
        </w:rPr>
        <w:t xml:space="preserve"> (Strategic Action Program)</w:t>
      </w:r>
      <w:r w:rsidRPr="00967C9B">
        <w:rPr>
          <w:rFonts w:ascii="Calibri" w:eastAsia="Times New Roman" w:hAnsi="Calibri" w:cs="Calibri"/>
          <w:color w:val="000000"/>
          <w:lang w:eastAsia="en-CA"/>
        </w:rPr>
        <w:t>, specialized personnel are hired to provide the processes</w:t>
      </w:r>
      <w:r w:rsidR="00054A68" w:rsidRPr="00967C9B">
        <w:rPr>
          <w:rFonts w:ascii="Calibri" w:eastAsia="Times New Roman" w:hAnsi="Calibri" w:cs="Calibri"/>
          <w:color w:val="000000"/>
          <w:lang w:eastAsia="en-CA"/>
        </w:rPr>
        <w:t xml:space="preserve"> </w:t>
      </w:r>
      <w:r w:rsidR="00207331" w:rsidRPr="00967C9B">
        <w:rPr>
          <w:rFonts w:ascii="Calibri" w:eastAsia="Times New Roman" w:hAnsi="Calibri" w:cs="Calibri"/>
          <w:color w:val="000000"/>
          <w:lang w:eastAsia="en-CA"/>
        </w:rPr>
        <w:t>with appropriate communication and methods f</w:t>
      </w:r>
      <w:r w:rsidRPr="00967C9B">
        <w:rPr>
          <w:rFonts w:ascii="Calibri" w:eastAsia="Times New Roman" w:hAnsi="Calibri" w:cs="Calibri"/>
          <w:color w:val="000000"/>
          <w:lang w:eastAsia="en-CA"/>
        </w:rPr>
        <w:t xml:space="preserve">or the people of the communities. These personnel must have a gender perspective in their training. </w:t>
      </w:r>
    </w:p>
    <w:p w14:paraId="48ED876F" w14:textId="77777777" w:rsidR="00837D1E" w:rsidRPr="00967C9B" w:rsidRDefault="00837D1E" w:rsidP="00DD3961">
      <w:pPr>
        <w:spacing w:after="0" w:line="240" w:lineRule="auto"/>
        <w:jc w:val="both"/>
        <w:textAlignment w:val="baseline"/>
        <w:rPr>
          <w:rFonts w:ascii="Noto Sans Symbols" w:eastAsia="Times New Roman" w:hAnsi="Noto Sans Symbols" w:cs="Times New Roman"/>
          <w:color w:val="000000"/>
          <w:lang w:eastAsia="en-CA"/>
        </w:rPr>
      </w:pPr>
    </w:p>
    <w:p w14:paraId="7041BCD8" w14:textId="0DF30A27" w:rsidR="00141070" w:rsidRPr="00967C9B" w:rsidRDefault="002657D9" w:rsidP="00DD3961">
      <w:pPr>
        <w:jc w:val="both"/>
        <w:rPr>
          <w:b/>
        </w:rPr>
      </w:pPr>
      <w:r w:rsidRPr="00967C9B">
        <w:rPr>
          <w:b/>
        </w:rPr>
        <w:t>5.1</w:t>
      </w:r>
      <w:r w:rsidR="00141070" w:rsidRPr="00967C9B">
        <w:rPr>
          <w:b/>
        </w:rPr>
        <w:t xml:space="preserve">) </w:t>
      </w:r>
      <w:r w:rsidR="00574189" w:rsidRPr="00967C9B">
        <w:rPr>
          <w:b/>
        </w:rPr>
        <w:t>A</w:t>
      </w:r>
      <w:r w:rsidR="003C6F27" w:rsidRPr="00967C9B">
        <w:rPr>
          <w:b/>
        </w:rPr>
        <w:t>ctions</w:t>
      </w:r>
      <w:r w:rsidR="004774A4" w:rsidRPr="00967C9B">
        <w:rPr>
          <w:b/>
        </w:rPr>
        <w:t xml:space="preserve"> for gender equality integration</w:t>
      </w:r>
    </w:p>
    <w:p w14:paraId="1267AC6B" w14:textId="119BEEE1" w:rsidR="00C92DB8"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The actions integrated in each part of the project are described below, so that their implementation ensures the follow-up of the regulations required by GEF and UNDP in the inclusion of the gender equality approach. In section </w:t>
      </w:r>
      <w:r w:rsidR="002F77DB" w:rsidRPr="00967C9B">
        <w:rPr>
          <w:rFonts w:ascii="Calibri" w:eastAsia="Times New Roman" w:hAnsi="Calibri" w:cs="Calibri"/>
          <w:color w:val="000000"/>
          <w:lang w:eastAsia="en-CA"/>
        </w:rPr>
        <w:t>10</w:t>
      </w:r>
      <w:r w:rsidRPr="00967C9B">
        <w:rPr>
          <w:rFonts w:ascii="Calibri" w:eastAsia="Times New Roman" w:hAnsi="Calibri" w:cs="Calibri"/>
          <w:color w:val="000000"/>
          <w:lang w:eastAsia="en-CA"/>
        </w:rPr>
        <w:t xml:space="preserve">, a synthesis matrix is ​​presented on each activity with its corresponding explanation, mechanism of integration, temporality, means of verification and budget. </w:t>
      </w:r>
    </w:p>
    <w:p w14:paraId="228EC1CF"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9ADD73F" w14:textId="6E71C99B" w:rsidR="00141070" w:rsidRPr="00967C9B" w:rsidRDefault="00585DE9"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color w:val="000000"/>
          <w:lang w:eastAsia="en-CA"/>
        </w:rPr>
        <w:t>1.</w:t>
      </w:r>
      <w:r w:rsidRPr="00967C9B">
        <w:rPr>
          <w:rFonts w:ascii="Calibri" w:eastAsia="Times New Roman" w:hAnsi="Calibri" w:cs="Calibri"/>
          <w:color w:val="000000"/>
          <w:lang w:eastAsia="en-CA"/>
        </w:rPr>
        <w:t xml:space="preserve"> </w:t>
      </w:r>
      <w:r w:rsidR="00141070" w:rsidRPr="00967C9B">
        <w:rPr>
          <w:rFonts w:ascii="Calibri" w:eastAsia="Times New Roman" w:hAnsi="Calibri" w:cs="Calibri"/>
          <w:color w:val="000000"/>
          <w:lang w:eastAsia="en-CA"/>
        </w:rPr>
        <w:t xml:space="preserve">The following points are proposed in the </w:t>
      </w:r>
      <w:r w:rsidR="00141070" w:rsidRPr="00967C9B">
        <w:rPr>
          <w:rFonts w:ascii="Calibri" w:eastAsia="Times New Roman" w:hAnsi="Calibri" w:cs="Calibri"/>
          <w:color w:val="000000"/>
          <w:u w:val="single"/>
          <w:lang w:eastAsia="en-CA"/>
        </w:rPr>
        <w:t>preliminary phase of the project design</w:t>
      </w:r>
      <w:r w:rsidR="00141070" w:rsidRPr="00967C9B">
        <w:rPr>
          <w:rFonts w:ascii="Calibri" w:eastAsia="Times New Roman" w:hAnsi="Calibri" w:cs="Calibri"/>
          <w:color w:val="000000"/>
          <w:lang w:eastAsia="en-CA"/>
        </w:rPr>
        <w:t>:</w:t>
      </w:r>
    </w:p>
    <w:p w14:paraId="1F251AF6" w14:textId="77777777" w:rsidR="009204F3" w:rsidRPr="00967C9B" w:rsidRDefault="009204F3" w:rsidP="00DD3961">
      <w:pPr>
        <w:spacing w:after="0" w:line="240" w:lineRule="auto"/>
        <w:jc w:val="both"/>
        <w:rPr>
          <w:rFonts w:ascii="Calibri" w:eastAsia="Times New Roman" w:hAnsi="Calibri" w:cs="Calibri"/>
          <w:b/>
          <w:bCs/>
          <w:color w:val="000000"/>
          <w:lang w:eastAsia="en-CA"/>
        </w:rPr>
      </w:pPr>
    </w:p>
    <w:p w14:paraId="6EEBBA68" w14:textId="050EEF4D" w:rsidR="00141070" w:rsidRPr="00967C9B" w:rsidRDefault="00DE0C7E" w:rsidP="00DD3961">
      <w:pPr>
        <w:spacing w:after="0" w:line="240" w:lineRule="auto"/>
        <w:jc w:val="both"/>
        <w:rPr>
          <w:rFonts w:ascii="Calibri" w:eastAsia="Times New Roman" w:hAnsi="Calibri" w:cs="Calibri"/>
          <w:b/>
          <w:bCs/>
          <w:color w:val="000000"/>
          <w:lang w:eastAsia="en-CA"/>
        </w:rPr>
      </w:pPr>
      <w:r w:rsidRPr="00967C9B">
        <w:rPr>
          <w:rFonts w:ascii="Calibri" w:eastAsia="Times New Roman" w:hAnsi="Calibri" w:cs="Calibri"/>
          <w:b/>
          <w:bCs/>
          <w:color w:val="000000"/>
          <w:lang w:eastAsia="en-CA"/>
        </w:rPr>
        <w:t>D</w:t>
      </w:r>
      <w:r w:rsidR="00141070" w:rsidRPr="00967C9B">
        <w:rPr>
          <w:rFonts w:ascii="Calibri" w:eastAsia="Times New Roman" w:hAnsi="Calibri" w:cs="Calibri"/>
          <w:b/>
          <w:bCs/>
          <w:color w:val="000000"/>
          <w:lang w:eastAsia="en-CA"/>
        </w:rPr>
        <w:t xml:space="preserve">esign, context and background of PRODOC </w:t>
      </w:r>
    </w:p>
    <w:p w14:paraId="1DD6280D" w14:textId="77777777" w:rsidR="00E4446C" w:rsidRPr="00967C9B" w:rsidRDefault="00E4446C" w:rsidP="00DD3961">
      <w:pPr>
        <w:spacing w:after="0" w:line="240" w:lineRule="auto"/>
        <w:jc w:val="both"/>
        <w:rPr>
          <w:rFonts w:ascii="Times New Roman" w:eastAsia="Times New Roman" w:hAnsi="Times New Roman" w:cs="Times New Roman"/>
          <w:sz w:val="24"/>
          <w:szCs w:val="24"/>
          <w:lang w:eastAsia="en-CA"/>
        </w:rPr>
      </w:pPr>
    </w:p>
    <w:p w14:paraId="645B2463" w14:textId="4FB8E06B" w:rsidR="00141070" w:rsidRPr="00967C9B" w:rsidRDefault="00141070" w:rsidP="00DD3961">
      <w:pPr>
        <w:pStyle w:val="ListParagraph"/>
        <w:numPr>
          <w:ilvl w:val="0"/>
          <w:numId w:val="5"/>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To design the project, specialists in gender equality were integrated to carry out the diagnosis, prepare the gender plan and integrate other specific considerations about the topic.</w:t>
      </w:r>
    </w:p>
    <w:p w14:paraId="178FC681" w14:textId="059DD06D" w:rsidR="00141070" w:rsidRPr="00967C9B" w:rsidRDefault="00141070" w:rsidP="00DD3961">
      <w:pPr>
        <w:pStyle w:val="ListParagraph"/>
        <w:numPr>
          <w:ilvl w:val="0"/>
          <w:numId w:val="5"/>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Binational workshops were held with key actors for the construction of the project where invitations were made with gender balance.</w:t>
      </w:r>
      <w:r w:rsidR="00104BF8" w:rsidRPr="00967C9B">
        <w:rPr>
          <w:rFonts w:ascii="Calibri" w:eastAsia="Times New Roman" w:hAnsi="Calibri" w:cs="Calibri"/>
          <w:color w:val="000000"/>
          <w:lang w:eastAsia="en-CA"/>
        </w:rPr>
        <w:t xml:space="preserve"> P</w:t>
      </w:r>
      <w:r w:rsidRPr="00967C9B">
        <w:rPr>
          <w:rFonts w:ascii="Calibri" w:eastAsia="Times New Roman" w:hAnsi="Calibri" w:cs="Calibri"/>
          <w:color w:val="000000"/>
          <w:lang w:eastAsia="en-CA"/>
        </w:rPr>
        <w:t>articipation by sex was disaggregated.</w:t>
      </w:r>
    </w:p>
    <w:p w14:paraId="3B5D25E2" w14:textId="2412EE5D" w:rsidR="00DC46E0" w:rsidRPr="00967C9B" w:rsidRDefault="00141070" w:rsidP="00DD3961">
      <w:pPr>
        <w:pStyle w:val="ListParagraph"/>
        <w:numPr>
          <w:ilvl w:val="0"/>
          <w:numId w:val="5"/>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A gender diagnosis was made and intervention conditions on gender issues were identified. The findings</w:t>
      </w:r>
      <w:r w:rsidR="00AD4D6F" w:rsidRPr="00967C9B">
        <w:rPr>
          <w:rFonts w:ascii="Calibri" w:eastAsia="Times New Roman" w:hAnsi="Calibri" w:cs="Calibri"/>
          <w:color w:val="000000"/>
          <w:lang w:eastAsia="en-CA"/>
        </w:rPr>
        <w:t xml:space="preserve">, to the extent possible, </w:t>
      </w:r>
      <w:r w:rsidRPr="00967C9B">
        <w:rPr>
          <w:rFonts w:ascii="Calibri" w:eastAsia="Times New Roman" w:hAnsi="Calibri" w:cs="Calibri"/>
          <w:color w:val="000000"/>
          <w:lang w:eastAsia="en-CA"/>
        </w:rPr>
        <w:t>are integrated into the design and context of the PRODOC.</w:t>
      </w:r>
      <w:r w:rsidR="00202F44" w:rsidRPr="00967C9B">
        <w:rPr>
          <w:rFonts w:ascii="Times New Roman" w:eastAsia="Times New Roman" w:hAnsi="Times New Roman" w:cs="Times New Roman"/>
          <w:sz w:val="24"/>
          <w:szCs w:val="24"/>
          <w:lang w:eastAsia="en-CA"/>
        </w:rPr>
        <w:t xml:space="preserve"> </w:t>
      </w:r>
    </w:p>
    <w:p w14:paraId="7F73EEA1" w14:textId="77777777" w:rsidR="00DC46E0" w:rsidRPr="00967C9B" w:rsidRDefault="00DC46E0" w:rsidP="00DD3961">
      <w:pPr>
        <w:pStyle w:val="ListParagraph"/>
        <w:spacing w:after="0" w:line="240" w:lineRule="auto"/>
        <w:jc w:val="both"/>
        <w:rPr>
          <w:rFonts w:ascii="Times New Roman" w:eastAsia="Times New Roman" w:hAnsi="Times New Roman" w:cs="Times New Roman"/>
          <w:sz w:val="24"/>
          <w:szCs w:val="24"/>
          <w:lang w:eastAsia="en-CA"/>
        </w:rPr>
      </w:pPr>
    </w:p>
    <w:p w14:paraId="17DD43AF" w14:textId="7F8311A2"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These activities were carried out in the conformation of the formulator team during the construction of the PRODOC.</w:t>
      </w:r>
    </w:p>
    <w:p w14:paraId="1E7A45EE"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3D96C2A" w14:textId="79D43594" w:rsidR="00141070" w:rsidRPr="00967C9B" w:rsidRDefault="00585DE9"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color w:val="000000"/>
          <w:lang w:eastAsia="en-CA"/>
        </w:rPr>
        <w:t>2.</w:t>
      </w:r>
      <w:r w:rsidRPr="00967C9B">
        <w:rPr>
          <w:rFonts w:ascii="Calibri" w:eastAsia="Times New Roman" w:hAnsi="Calibri" w:cs="Calibri"/>
          <w:color w:val="000000"/>
          <w:lang w:eastAsia="en-CA"/>
        </w:rPr>
        <w:t xml:space="preserve"> T</w:t>
      </w:r>
      <w:r w:rsidR="00141070" w:rsidRPr="00967C9B">
        <w:rPr>
          <w:rFonts w:ascii="Calibri" w:eastAsia="Times New Roman" w:hAnsi="Calibri" w:cs="Calibri"/>
          <w:color w:val="000000"/>
          <w:lang w:eastAsia="en-CA"/>
        </w:rPr>
        <w:t>he following actions will be executable</w:t>
      </w:r>
      <w:r w:rsidR="00202F44" w:rsidRPr="00967C9B">
        <w:rPr>
          <w:rFonts w:ascii="Calibri" w:eastAsia="Times New Roman" w:hAnsi="Calibri" w:cs="Calibri"/>
          <w:color w:val="000000"/>
          <w:lang w:eastAsia="en-CA"/>
        </w:rPr>
        <w:t xml:space="preserve"> </w:t>
      </w:r>
      <w:r w:rsidR="00141070" w:rsidRPr="00967C9B">
        <w:rPr>
          <w:rFonts w:ascii="Calibri" w:eastAsia="Times New Roman" w:hAnsi="Calibri" w:cs="Calibri"/>
          <w:color w:val="000000"/>
          <w:u w:val="single"/>
          <w:lang w:eastAsia="en-CA"/>
        </w:rPr>
        <w:t>during the implementation</w:t>
      </w:r>
      <w:r w:rsidR="00C92DB8" w:rsidRPr="00967C9B">
        <w:rPr>
          <w:rFonts w:ascii="Calibri" w:eastAsia="Times New Roman" w:hAnsi="Calibri" w:cs="Calibri"/>
          <w:color w:val="000000"/>
          <w:u w:val="single"/>
          <w:lang w:eastAsia="en-CA"/>
        </w:rPr>
        <w:t xml:space="preserve"> phase </w:t>
      </w:r>
      <w:r w:rsidR="00AD4D6F" w:rsidRPr="00967C9B">
        <w:rPr>
          <w:rFonts w:ascii="Calibri" w:eastAsia="Times New Roman" w:hAnsi="Calibri" w:cs="Calibri"/>
          <w:color w:val="000000"/>
          <w:u w:val="single"/>
          <w:lang w:eastAsia="en-CA"/>
        </w:rPr>
        <w:t>through the project Results Framework, outcomes and indicators:</w:t>
      </w:r>
    </w:p>
    <w:p w14:paraId="122A8536" w14:textId="77777777" w:rsidR="00EE50C4" w:rsidRPr="00967C9B" w:rsidRDefault="00EE50C4" w:rsidP="00DD3961">
      <w:pPr>
        <w:spacing w:after="0" w:line="240" w:lineRule="auto"/>
        <w:jc w:val="both"/>
        <w:rPr>
          <w:rFonts w:ascii="Calibri" w:eastAsia="Times New Roman" w:hAnsi="Calibri" w:cs="Calibri"/>
          <w:b/>
          <w:bCs/>
          <w:color w:val="000000"/>
          <w:lang w:eastAsia="en-CA"/>
        </w:rPr>
      </w:pPr>
    </w:p>
    <w:p w14:paraId="74420787" w14:textId="0E8564E9" w:rsidR="00EE50C4" w:rsidRPr="00967C9B" w:rsidRDefault="00DE0C7E" w:rsidP="00DD3961">
      <w:pPr>
        <w:widowControl w:val="0"/>
        <w:autoSpaceDE w:val="0"/>
        <w:autoSpaceDN w:val="0"/>
        <w:adjustRightInd w:val="0"/>
        <w:spacing w:after="0" w:line="240" w:lineRule="auto"/>
        <w:jc w:val="both"/>
        <w:rPr>
          <w:rFonts w:cs="AppleSystemUIFont"/>
          <w:color w:val="353535"/>
        </w:rPr>
      </w:pPr>
      <w:r w:rsidRPr="00967C9B">
        <w:rPr>
          <w:rFonts w:eastAsia="Times New Roman" w:cs="Calibri"/>
          <w:b/>
          <w:bCs/>
          <w:color w:val="000000"/>
          <w:lang w:eastAsia="en-CA"/>
        </w:rPr>
        <w:t>Outcome</w:t>
      </w:r>
      <w:r w:rsidR="005C6552" w:rsidRPr="00967C9B">
        <w:rPr>
          <w:rFonts w:eastAsia="Times New Roman" w:cs="Calibri"/>
          <w:b/>
          <w:bCs/>
          <w:color w:val="000000"/>
          <w:lang w:eastAsia="en-CA"/>
        </w:rPr>
        <w:t xml:space="preserve"> </w:t>
      </w:r>
      <w:r w:rsidR="00141070" w:rsidRPr="00967C9B">
        <w:rPr>
          <w:rFonts w:eastAsia="Times New Roman" w:cs="Calibri"/>
          <w:b/>
          <w:bCs/>
          <w:color w:val="000000"/>
          <w:lang w:eastAsia="en-CA"/>
        </w:rPr>
        <w:t xml:space="preserve">1 </w:t>
      </w:r>
      <w:r w:rsidR="00EE50C4" w:rsidRPr="00967C9B">
        <w:rPr>
          <w:rFonts w:eastAsia="Times New Roman" w:cs="Calibri"/>
          <w:b/>
          <w:bCs/>
          <w:color w:val="000000"/>
          <w:lang w:eastAsia="en-CA"/>
        </w:rPr>
        <w:t>–</w:t>
      </w:r>
      <w:r w:rsidR="00141070" w:rsidRPr="00967C9B">
        <w:rPr>
          <w:rFonts w:eastAsia="Times New Roman" w:cs="Calibri"/>
          <w:b/>
          <w:bCs/>
          <w:color w:val="000000"/>
          <w:lang w:eastAsia="en-CA"/>
        </w:rPr>
        <w:t xml:space="preserve"> TDA</w:t>
      </w:r>
      <w:r w:rsidR="00EE50C4" w:rsidRPr="00967C9B">
        <w:rPr>
          <w:rFonts w:eastAsia="Times New Roman" w:cs="Calibri"/>
          <w:b/>
          <w:bCs/>
          <w:color w:val="000000"/>
          <w:lang w:eastAsia="en-CA"/>
        </w:rPr>
        <w:t xml:space="preserve"> - </w:t>
      </w:r>
      <w:r w:rsidR="00EE50C4" w:rsidRPr="00967C9B">
        <w:rPr>
          <w:rFonts w:cs="AppleSystemUIFont"/>
          <w:color w:val="353535"/>
        </w:rPr>
        <w:t xml:space="preserve">Transboundary Diagnostic Analysis (TDA) </w:t>
      </w:r>
    </w:p>
    <w:p w14:paraId="18D7768D" w14:textId="77777777" w:rsidR="00F57BD8" w:rsidRPr="00967C9B" w:rsidRDefault="00F57BD8" w:rsidP="00DD3961">
      <w:pPr>
        <w:spacing w:after="0" w:line="240" w:lineRule="auto"/>
        <w:jc w:val="both"/>
        <w:rPr>
          <w:rFonts w:ascii="Calibri" w:eastAsia="Times New Roman" w:hAnsi="Calibri" w:cs="Calibri"/>
          <w:color w:val="000000"/>
          <w:lang w:eastAsia="en-CA"/>
        </w:rPr>
      </w:pPr>
    </w:p>
    <w:p w14:paraId="2AD3D5B3" w14:textId="44A89C16" w:rsidR="00B30847" w:rsidRPr="00967C9B" w:rsidRDefault="00B30847" w:rsidP="00DD3961">
      <w:pPr>
        <w:pStyle w:val="ListParagraph"/>
        <w:numPr>
          <w:ilvl w:val="0"/>
          <w:numId w:val="16"/>
        </w:numPr>
        <w:spacing w:after="0" w:line="240" w:lineRule="auto"/>
        <w:jc w:val="both"/>
        <w:rPr>
          <w:rFonts w:eastAsia="Times New Roman" w:cs="Calibri"/>
          <w:color w:val="000000"/>
          <w:lang w:eastAsia="en-CA"/>
        </w:rPr>
      </w:pPr>
      <w:r w:rsidRPr="00967C9B">
        <w:t>To establish of TDA development team with participation of women with a minimum of 40%.</w:t>
      </w:r>
      <w:r w:rsidR="00011574" w:rsidRPr="00967C9B">
        <w:t xml:space="preserve"> This will be carried out during year 1.</w:t>
      </w:r>
    </w:p>
    <w:p w14:paraId="5DF3E1A1" w14:textId="1751D997" w:rsidR="00F57BD8" w:rsidRPr="00967C9B" w:rsidRDefault="00141070" w:rsidP="00DD3961">
      <w:pPr>
        <w:pStyle w:val="ListParagraph"/>
        <w:numPr>
          <w:ilvl w:val="0"/>
          <w:numId w:val="16"/>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A support consultant (specialist consultant</w:t>
      </w:r>
      <w:r w:rsidR="00202F44" w:rsidRPr="00967C9B">
        <w:rPr>
          <w:rFonts w:ascii="Calibri" w:eastAsia="Times New Roman" w:hAnsi="Calibri" w:cs="Calibri"/>
          <w:color w:val="000000"/>
          <w:lang w:eastAsia="en-CA"/>
        </w:rPr>
        <w:t xml:space="preserve"> in gender equality</w:t>
      </w:r>
      <w:r w:rsidRPr="00967C9B">
        <w:rPr>
          <w:rFonts w:ascii="Calibri" w:eastAsia="Times New Roman" w:hAnsi="Calibri" w:cs="Calibri"/>
          <w:color w:val="000000"/>
          <w:lang w:eastAsia="en-CA"/>
        </w:rPr>
        <w:t xml:space="preserve">) is integrated into the TDA team. This specialist collects information and organizes it on issues related to gender equality, participation and decision-making in the basins of studies for the construction of </w:t>
      </w:r>
      <w:r w:rsidR="00D25A18" w:rsidRPr="00967C9B">
        <w:rPr>
          <w:rFonts w:ascii="Calibri" w:eastAsia="Times New Roman" w:hAnsi="Calibri" w:cs="Calibri"/>
          <w:color w:val="000000"/>
          <w:lang w:eastAsia="en-CA"/>
        </w:rPr>
        <w:t>TDA</w:t>
      </w:r>
      <w:r w:rsidRPr="00967C9B">
        <w:rPr>
          <w:rFonts w:ascii="Calibri" w:eastAsia="Times New Roman" w:hAnsi="Calibri" w:cs="Calibri"/>
          <w:color w:val="000000"/>
          <w:lang w:eastAsia="en-CA"/>
        </w:rPr>
        <w:t>. This person will be articulated with the specialist person of the gender equality, pa</w:t>
      </w:r>
      <w:r w:rsidR="009204F3" w:rsidRPr="00967C9B">
        <w:rPr>
          <w:rFonts w:ascii="Calibri" w:eastAsia="Times New Roman" w:hAnsi="Calibri" w:cs="Calibri"/>
          <w:color w:val="000000"/>
          <w:lang w:eastAsia="en-CA"/>
        </w:rPr>
        <w:t>rticipation and intercultural</w:t>
      </w:r>
      <w:r w:rsidRPr="00967C9B">
        <w:rPr>
          <w:rFonts w:ascii="Calibri" w:eastAsia="Times New Roman" w:hAnsi="Calibri" w:cs="Calibri"/>
          <w:color w:val="000000"/>
          <w:lang w:eastAsia="en-CA"/>
        </w:rPr>
        <w:t xml:space="preserve"> (EGP) approach of the project team. </w:t>
      </w:r>
    </w:p>
    <w:p w14:paraId="729DAEC6" w14:textId="2EBD4A43" w:rsidR="00804C35" w:rsidRPr="00967C9B" w:rsidRDefault="001A726D" w:rsidP="00DD3961">
      <w:pPr>
        <w:pStyle w:val="ListParagraph"/>
        <w:numPr>
          <w:ilvl w:val="0"/>
          <w:numId w:val="16"/>
        </w:numPr>
        <w:spacing w:after="0" w:line="240" w:lineRule="auto"/>
        <w:jc w:val="both"/>
        <w:rPr>
          <w:rFonts w:ascii="Calibri" w:eastAsia="Times New Roman" w:hAnsi="Calibri" w:cs="Calibri"/>
          <w:color w:val="000000"/>
          <w:lang w:eastAsia="en-CA"/>
        </w:rPr>
      </w:pPr>
      <w:proofErr w:type="gramStart"/>
      <w:r w:rsidRPr="00967C9B">
        <w:rPr>
          <w:rFonts w:ascii="Calibri" w:eastAsia="Times New Roman" w:hAnsi="Calibri" w:cs="Calibri"/>
          <w:color w:val="000000"/>
          <w:lang w:eastAsia="en-CA"/>
        </w:rPr>
        <w:t>T</w:t>
      </w:r>
      <w:r w:rsidR="00141070" w:rsidRPr="00967C9B">
        <w:rPr>
          <w:rFonts w:ascii="Calibri" w:eastAsia="Times New Roman" w:hAnsi="Calibri" w:cs="Calibri"/>
          <w:color w:val="000000"/>
          <w:lang w:eastAsia="en-CA"/>
        </w:rPr>
        <w:t>his</w:t>
      </w:r>
      <w:r w:rsidR="00011574" w:rsidRPr="00967C9B">
        <w:rPr>
          <w:rFonts w:ascii="Calibri" w:eastAsia="Times New Roman" w:hAnsi="Calibri" w:cs="Calibri"/>
          <w:color w:val="000000"/>
          <w:lang w:eastAsia="en-CA"/>
        </w:rPr>
        <w:t xml:space="preserve"> outcomes</w:t>
      </w:r>
      <w:proofErr w:type="gramEnd"/>
      <w:r w:rsidR="00011574" w:rsidRPr="00967C9B">
        <w:rPr>
          <w:rFonts w:ascii="Calibri" w:eastAsia="Times New Roman" w:hAnsi="Calibri" w:cs="Calibri"/>
          <w:color w:val="000000"/>
          <w:lang w:eastAsia="en-CA"/>
        </w:rPr>
        <w:t xml:space="preserve"> </w:t>
      </w:r>
      <w:r w:rsidR="00141070" w:rsidRPr="00967C9B">
        <w:rPr>
          <w:rFonts w:ascii="Calibri" w:eastAsia="Times New Roman" w:hAnsi="Calibri" w:cs="Calibri"/>
          <w:color w:val="000000"/>
          <w:lang w:eastAsia="en-CA"/>
        </w:rPr>
        <w:t xml:space="preserve">integrates </w:t>
      </w:r>
      <w:r w:rsidR="000C530D" w:rsidRPr="00967C9B">
        <w:rPr>
          <w:rFonts w:ascii="Calibri" w:eastAsia="Times New Roman" w:hAnsi="Calibri" w:cs="Calibri"/>
          <w:color w:val="000000"/>
          <w:lang w:eastAsia="en-CA"/>
        </w:rPr>
        <w:t xml:space="preserve">a </w:t>
      </w:r>
      <w:r w:rsidR="00141070" w:rsidRPr="00967C9B">
        <w:rPr>
          <w:rFonts w:ascii="Calibri" w:eastAsia="Times New Roman" w:hAnsi="Calibri" w:cs="Calibri"/>
          <w:color w:val="000000"/>
          <w:lang w:eastAsia="en-CA"/>
        </w:rPr>
        <w:t>basic stud</w:t>
      </w:r>
      <w:r w:rsidR="000C530D" w:rsidRPr="00967C9B">
        <w:rPr>
          <w:rFonts w:ascii="Calibri" w:eastAsia="Times New Roman" w:hAnsi="Calibri" w:cs="Calibri"/>
          <w:color w:val="000000"/>
          <w:lang w:eastAsia="en-CA"/>
        </w:rPr>
        <w:t>y</w:t>
      </w:r>
      <w:r w:rsidR="00141070" w:rsidRPr="00967C9B">
        <w:rPr>
          <w:rFonts w:ascii="Calibri" w:eastAsia="Times New Roman" w:hAnsi="Calibri" w:cs="Calibri"/>
          <w:color w:val="000000"/>
          <w:lang w:eastAsia="en-CA"/>
        </w:rPr>
        <w:t xml:space="preserve"> on gender and </w:t>
      </w:r>
      <w:r w:rsidR="000C530D" w:rsidRPr="00967C9B">
        <w:rPr>
          <w:rFonts w:ascii="Calibri" w:eastAsia="Times New Roman" w:hAnsi="Calibri" w:cs="Calibri"/>
          <w:color w:val="000000"/>
          <w:lang w:eastAsia="en-CA"/>
        </w:rPr>
        <w:t xml:space="preserve">governance </w:t>
      </w:r>
      <w:r w:rsidR="00141070" w:rsidRPr="00967C9B">
        <w:rPr>
          <w:rFonts w:ascii="Calibri" w:eastAsia="Times New Roman" w:hAnsi="Calibri" w:cs="Calibri"/>
          <w:color w:val="000000"/>
          <w:lang w:eastAsia="en-CA"/>
        </w:rPr>
        <w:t>in the study basins</w:t>
      </w:r>
      <w:r w:rsidR="00C92DB8" w:rsidRPr="00967C9B">
        <w:rPr>
          <w:rFonts w:ascii="Calibri" w:eastAsia="Times New Roman" w:hAnsi="Calibri" w:cs="Calibri"/>
          <w:color w:val="000000"/>
          <w:lang w:eastAsia="en-CA"/>
        </w:rPr>
        <w:t xml:space="preserve"> which includes the following</w:t>
      </w:r>
      <w:r w:rsidR="003960B2" w:rsidRPr="00967C9B">
        <w:rPr>
          <w:rFonts w:ascii="Calibri" w:eastAsia="Times New Roman" w:hAnsi="Calibri" w:cs="Calibri"/>
          <w:color w:val="000000"/>
          <w:lang w:eastAsia="en-CA"/>
        </w:rPr>
        <w:t xml:space="preserve">: </w:t>
      </w:r>
      <w:r w:rsidR="00141070" w:rsidRPr="00967C9B">
        <w:rPr>
          <w:rFonts w:ascii="Calibri" w:eastAsia="Times New Roman" w:hAnsi="Calibri" w:cs="Calibri"/>
          <w:color w:val="000000"/>
          <w:lang w:eastAsia="en-CA"/>
        </w:rPr>
        <w:t xml:space="preserve"> a) Study on governance of water and irrigation boards with a gender approach and intercultural analysis;</w:t>
      </w:r>
      <w:r w:rsidR="003960B2" w:rsidRPr="00967C9B">
        <w:rPr>
          <w:rFonts w:ascii="Calibri" w:eastAsia="Times New Roman" w:hAnsi="Calibri" w:cs="Calibri"/>
          <w:color w:val="000000"/>
          <w:lang w:eastAsia="en-CA"/>
        </w:rPr>
        <w:t xml:space="preserve"> and</w:t>
      </w:r>
      <w:r w:rsidR="00141070" w:rsidRPr="00967C9B">
        <w:rPr>
          <w:rFonts w:ascii="Calibri" w:eastAsia="Times New Roman" w:hAnsi="Calibri" w:cs="Calibri"/>
          <w:color w:val="000000"/>
          <w:lang w:eastAsia="en-CA"/>
        </w:rPr>
        <w:t xml:space="preserve"> b) research on successful cases of management of water and irrigation boards, their organizational mechanisms, participation and representation; also about conflict resolution. The information obtained in this process feeds the construction of the TDA in relation to the issue of gender equality.  </w:t>
      </w:r>
      <w:r w:rsidR="00011574" w:rsidRPr="00967C9B">
        <w:rPr>
          <w:rFonts w:ascii="Calibri" w:eastAsia="Times New Roman" w:hAnsi="Calibri" w:cs="Calibri"/>
          <w:color w:val="000000"/>
          <w:lang w:eastAsia="en-CA"/>
        </w:rPr>
        <w:t xml:space="preserve"> </w:t>
      </w:r>
    </w:p>
    <w:p w14:paraId="260F65A8" w14:textId="2ED6B685" w:rsidR="00804C35" w:rsidRPr="00967C9B" w:rsidRDefault="00804C35" w:rsidP="00DD3961">
      <w:pPr>
        <w:pStyle w:val="ListParagraph"/>
        <w:numPr>
          <w:ilvl w:val="0"/>
          <w:numId w:val="16"/>
        </w:num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A consultant will be hired to collect and organize existing information regarding gender, participation and intercultural aspects. </w:t>
      </w:r>
    </w:p>
    <w:p w14:paraId="289BFED8" w14:textId="77777777" w:rsidR="00DC46E0" w:rsidRPr="00967C9B" w:rsidRDefault="00DC46E0" w:rsidP="00DD3961">
      <w:pPr>
        <w:spacing w:after="0" w:line="240" w:lineRule="auto"/>
        <w:jc w:val="both"/>
        <w:rPr>
          <w:rFonts w:ascii="Calibri" w:eastAsia="Times New Roman" w:hAnsi="Calibri" w:cs="Calibri"/>
          <w:color w:val="000000"/>
          <w:lang w:eastAsia="en-CA"/>
        </w:rPr>
      </w:pPr>
    </w:p>
    <w:p w14:paraId="62C138CF" w14:textId="039B3F1A"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These activities will be carried out during the execution of </w:t>
      </w:r>
      <w:r w:rsidR="00011574" w:rsidRPr="00967C9B">
        <w:rPr>
          <w:rFonts w:ascii="Calibri" w:eastAsia="Times New Roman" w:hAnsi="Calibri" w:cs="Calibri"/>
          <w:color w:val="000000"/>
          <w:lang w:eastAsia="en-CA"/>
        </w:rPr>
        <w:t>outcome</w:t>
      </w:r>
      <w:r w:rsidRPr="00967C9B">
        <w:rPr>
          <w:rFonts w:ascii="Calibri" w:eastAsia="Times New Roman" w:hAnsi="Calibri" w:cs="Calibri"/>
          <w:color w:val="000000"/>
          <w:lang w:eastAsia="en-CA"/>
        </w:rPr>
        <w:t xml:space="preserve"> 1</w:t>
      </w:r>
      <w:r w:rsidR="00ED7734" w:rsidRPr="00967C9B">
        <w:rPr>
          <w:rFonts w:ascii="Calibri" w:eastAsia="Times New Roman" w:hAnsi="Calibri" w:cs="Calibri"/>
          <w:color w:val="000000"/>
          <w:lang w:eastAsia="en-CA"/>
        </w:rPr>
        <w:t xml:space="preserve"> (year 1)</w:t>
      </w:r>
    </w:p>
    <w:p w14:paraId="39B30020" w14:textId="77777777" w:rsidR="00DC46E0" w:rsidRPr="00967C9B" w:rsidRDefault="00DC46E0" w:rsidP="00DD3961">
      <w:pPr>
        <w:spacing w:after="0" w:line="240" w:lineRule="auto"/>
        <w:jc w:val="both"/>
        <w:rPr>
          <w:rFonts w:ascii="Times New Roman" w:eastAsia="Times New Roman" w:hAnsi="Times New Roman" w:cs="Times New Roman"/>
          <w:sz w:val="24"/>
          <w:szCs w:val="24"/>
          <w:lang w:eastAsia="en-CA"/>
        </w:rPr>
      </w:pPr>
    </w:p>
    <w:p w14:paraId="6550951F" w14:textId="75D0891B" w:rsidR="00EE50C4" w:rsidRPr="00967C9B" w:rsidRDefault="00DE0C7E" w:rsidP="00DD3961">
      <w:pPr>
        <w:widowControl w:val="0"/>
        <w:autoSpaceDE w:val="0"/>
        <w:autoSpaceDN w:val="0"/>
        <w:adjustRightInd w:val="0"/>
        <w:spacing w:after="0" w:line="240" w:lineRule="auto"/>
        <w:jc w:val="both"/>
        <w:rPr>
          <w:rFonts w:cs="AppleSystemUIFont"/>
          <w:color w:val="353535"/>
        </w:rPr>
      </w:pPr>
      <w:r w:rsidRPr="00967C9B">
        <w:rPr>
          <w:rFonts w:eastAsia="Times New Roman" w:cs="Calibri"/>
          <w:b/>
          <w:bCs/>
          <w:color w:val="000000"/>
          <w:lang w:eastAsia="en-CA"/>
        </w:rPr>
        <w:t>Outcome</w:t>
      </w:r>
      <w:r w:rsidR="00141070" w:rsidRPr="00967C9B">
        <w:rPr>
          <w:rFonts w:eastAsia="Times New Roman" w:cs="Calibri"/>
          <w:b/>
          <w:bCs/>
          <w:color w:val="000000"/>
          <w:lang w:eastAsia="en-CA"/>
        </w:rPr>
        <w:t xml:space="preserve"> 2 </w:t>
      </w:r>
      <w:r w:rsidR="00EE50C4" w:rsidRPr="00967C9B">
        <w:rPr>
          <w:rFonts w:eastAsia="Times New Roman" w:cs="Calibri"/>
          <w:b/>
          <w:bCs/>
          <w:color w:val="000000"/>
          <w:lang w:eastAsia="en-CA"/>
        </w:rPr>
        <w:t>–</w:t>
      </w:r>
      <w:r w:rsidR="00141070" w:rsidRPr="00967C9B">
        <w:rPr>
          <w:rFonts w:eastAsia="Times New Roman" w:cs="Calibri"/>
          <w:b/>
          <w:bCs/>
          <w:color w:val="000000"/>
          <w:lang w:eastAsia="en-CA"/>
        </w:rPr>
        <w:t xml:space="preserve"> SAP</w:t>
      </w:r>
      <w:r w:rsidR="00EE50C4" w:rsidRPr="00967C9B">
        <w:rPr>
          <w:rFonts w:eastAsia="Times New Roman" w:cs="Calibri"/>
          <w:b/>
          <w:bCs/>
          <w:color w:val="000000"/>
          <w:lang w:eastAsia="en-CA"/>
        </w:rPr>
        <w:t xml:space="preserve"> -</w:t>
      </w:r>
      <w:r w:rsidR="00EE50C4" w:rsidRPr="00967C9B">
        <w:rPr>
          <w:rFonts w:cs="AppleSystemUIFont"/>
          <w:color w:val="353535"/>
        </w:rPr>
        <w:t xml:space="preserve"> Strategic Action Program (SAP)</w:t>
      </w:r>
    </w:p>
    <w:p w14:paraId="75FFC279" w14:textId="7EDC525C"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AAA5C47" w14:textId="1EFFFE21" w:rsidR="00011574" w:rsidRPr="00967C9B" w:rsidRDefault="00011574" w:rsidP="00DD3961">
      <w:pPr>
        <w:pStyle w:val="ListParagraph"/>
        <w:numPr>
          <w:ilvl w:val="0"/>
          <w:numId w:val="17"/>
        </w:num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T</w:t>
      </w:r>
      <w:r w:rsidR="00141070" w:rsidRPr="00967C9B">
        <w:rPr>
          <w:rFonts w:ascii="Calibri" w:eastAsia="Times New Roman" w:hAnsi="Calibri" w:cs="Calibri"/>
          <w:color w:val="000000"/>
          <w:lang w:eastAsia="en-CA"/>
        </w:rPr>
        <w:t>he SAP development team - assigned by the countries- should have a minimum participation of 40% of women as affirmative action.</w:t>
      </w:r>
    </w:p>
    <w:p w14:paraId="069467EB" w14:textId="5DC4E7B7" w:rsidR="00141070" w:rsidRPr="00967C9B" w:rsidRDefault="00C92DB8" w:rsidP="00DD3961">
      <w:pPr>
        <w:pStyle w:val="ListParagraph"/>
        <w:numPr>
          <w:ilvl w:val="0"/>
          <w:numId w:val="17"/>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w:t>
      </w:r>
      <w:r w:rsidR="00141070" w:rsidRPr="00967C9B">
        <w:rPr>
          <w:rFonts w:ascii="Calibri" w:eastAsia="Times New Roman" w:hAnsi="Calibri" w:cs="Calibri"/>
          <w:color w:val="000000"/>
          <w:lang w:eastAsia="en-CA"/>
        </w:rPr>
        <w:t xml:space="preserve"> the process of consultation of the vision, goals and lines of intervention of the SAP, three meetings will be held in the project basins where information will be provided</w:t>
      </w:r>
      <w:r w:rsidR="00D25A18" w:rsidRPr="00967C9B">
        <w:rPr>
          <w:rFonts w:ascii="Calibri" w:eastAsia="Times New Roman" w:hAnsi="Calibri" w:cs="Calibri"/>
          <w:color w:val="000000"/>
          <w:lang w:eastAsia="en-CA"/>
        </w:rPr>
        <w:t>,</w:t>
      </w:r>
      <w:r w:rsidR="00141070" w:rsidRPr="00967C9B">
        <w:rPr>
          <w:rFonts w:ascii="Calibri" w:eastAsia="Times New Roman" w:hAnsi="Calibri" w:cs="Calibri"/>
          <w:color w:val="000000"/>
          <w:lang w:eastAsia="en-CA"/>
        </w:rPr>
        <w:t xml:space="preserve"> and the local populations will be consulted. In these meetings a minimum of 30% of women's participation will be required as affirmative action. This should be recorded in attendee memories and records as the means of verification.</w:t>
      </w:r>
    </w:p>
    <w:p w14:paraId="0426112E" w14:textId="77777777" w:rsidR="00DC46E0" w:rsidRPr="00967C9B" w:rsidRDefault="00DC46E0" w:rsidP="00DD3961">
      <w:pPr>
        <w:spacing w:after="0" w:line="240" w:lineRule="auto"/>
        <w:jc w:val="both"/>
        <w:rPr>
          <w:rFonts w:ascii="Calibri" w:eastAsia="Times New Roman" w:hAnsi="Calibri" w:cs="Calibri"/>
          <w:color w:val="000000"/>
          <w:lang w:eastAsia="en-CA"/>
        </w:rPr>
      </w:pPr>
    </w:p>
    <w:p w14:paraId="06634E0F" w14:textId="5117A0C6"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These activities will be carried out during the execution of </w:t>
      </w:r>
      <w:r w:rsidR="00ED7734" w:rsidRPr="00967C9B">
        <w:rPr>
          <w:rFonts w:ascii="Calibri" w:eastAsia="Times New Roman" w:hAnsi="Calibri" w:cs="Calibri"/>
          <w:color w:val="000000"/>
          <w:lang w:eastAsia="en-CA"/>
        </w:rPr>
        <w:t xml:space="preserve">Outcome </w:t>
      </w:r>
      <w:r w:rsidRPr="00967C9B">
        <w:rPr>
          <w:rFonts w:ascii="Calibri" w:eastAsia="Times New Roman" w:hAnsi="Calibri" w:cs="Calibri"/>
          <w:color w:val="000000"/>
          <w:lang w:eastAsia="en-CA"/>
        </w:rPr>
        <w:t>2</w:t>
      </w:r>
      <w:r w:rsidR="00ED7734" w:rsidRPr="00967C9B">
        <w:rPr>
          <w:rFonts w:ascii="Calibri" w:eastAsia="Times New Roman" w:hAnsi="Calibri" w:cs="Calibri"/>
          <w:color w:val="000000"/>
          <w:lang w:eastAsia="en-CA"/>
        </w:rPr>
        <w:t>(years 2,3,4)</w:t>
      </w:r>
      <w:r w:rsidRPr="00967C9B">
        <w:rPr>
          <w:rFonts w:ascii="Calibri" w:eastAsia="Times New Roman" w:hAnsi="Calibri" w:cs="Calibri"/>
          <w:color w:val="000000"/>
          <w:lang w:eastAsia="en-CA"/>
        </w:rPr>
        <w:t>.</w:t>
      </w:r>
    </w:p>
    <w:p w14:paraId="2AB644F5"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p w14:paraId="2D8024A0" w14:textId="4BBECC56" w:rsidR="00141070" w:rsidRPr="00967C9B" w:rsidRDefault="00DE0C7E" w:rsidP="00141070">
      <w:pPr>
        <w:spacing w:after="0" w:line="240" w:lineRule="auto"/>
        <w:rPr>
          <w:rFonts w:eastAsia="Times New Roman" w:cs="Calibri"/>
          <w:b/>
          <w:bCs/>
          <w:color w:val="000000"/>
          <w:lang w:eastAsia="en-CA"/>
        </w:rPr>
      </w:pPr>
      <w:r w:rsidRPr="00967C9B">
        <w:rPr>
          <w:rFonts w:eastAsia="Times New Roman" w:cs="Calibri"/>
          <w:b/>
          <w:bCs/>
          <w:color w:val="000000"/>
          <w:lang w:eastAsia="en-CA"/>
        </w:rPr>
        <w:t>Outcome</w:t>
      </w:r>
      <w:r w:rsidR="00141070" w:rsidRPr="00967C9B">
        <w:rPr>
          <w:rFonts w:eastAsia="Times New Roman" w:cs="Calibri"/>
          <w:b/>
          <w:bCs/>
          <w:color w:val="000000"/>
          <w:lang w:eastAsia="en-CA"/>
        </w:rPr>
        <w:t xml:space="preserve"> 3- </w:t>
      </w:r>
      <w:r w:rsidR="00EE50C4" w:rsidRPr="00967C9B">
        <w:rPr>
          <w:rFonts w:cs="AppleSystemUIFont"/>
          <w:color w:val="353535"/>
        </w:rPr>
        <w:t>Training of key national and subnational stakeholders</w:t>
      </w:r>
      <w:r w:rsidR="00141070" w:rsidRPr="00967C9B">
        <w:rPr>
          <w:rFonts w:eastAsia="Times New Roman" w:cs="Calibri"/>
          <w:b/>
          <w:bCs/>
          <w:color w:val="000000"/>
          <w:lang w:eastAsia="en-CA"/>
        </w:rPr>
        <w:t>:</w:t>
      </w:r>
    </w:p>
    <w:p w14:paraId="77FC50E9" w14:textId="77777777" w:rsidR="00011574" w:rsidRPr="00967C9B" w:rsidRDefault="00011574" w:rsidP="00141070">
      <w:pPr>
        <w:spacing w:after="0" w:line="240" w:lineRule="auto"/>
        <w:rPr>
          <w:rFonts w:ascii="Times New Roman" w:eastAsia="Times New Roman" w:hAnsi="Times New Roman" w:cs="Times New Roman"/>
          <w:sz w:val="24"/>
          <w:szCs w:val="24"/>
          <w:lang w:eastAsia="en-CA"/>
        </w:rPr>
      </w:pPr>
    </w:p>
    <w:p w14:paraId="4A599BDB" w14:textId="0A3395C8" w:rsidR="00CD1CE6" w:rsidRPr="00967C9B" w:rsidRDefault="00141070" w:rsidP="00DD3961">
      <w:pPr>
        <w:pStyle w:val="ListParagraph"/>
        <w:numPr>
          <w:ilvl w:val="0"/>
          <w:numId w:val="19"/>
        </w:num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In the training processes of Result 3, they must have a minimum participation of 30% of women as affirmative action. This should be recorded in the attendees' memories and records as means of verification.</w:t>
      </w:r>
    </w:p>
    <w:p w14:paraId="79A9C306" w14:textId="1AD6BF32" w:rsidR="003C6F27" w:rsidRPr="00967C9B" w:rsidRDefault="00141070" w:rsidP="00DD3961">
      <w:pPr>
        <w:pStyle w:val="ListParagraph"/>
        <w:numPr>
          <w:ilvl w:val="0"/>
          <w:numId w:val="19"/>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A course for water boards and specific irrigation on gender and water governance is designed. The training curriculum is developed, training materials for trainers and pilot processes are made.</w:t>
      </w:r>
    </w:p>
    <w:p w14:paraId="27693959" w14:textId="10876F71" w:rsidR="00440897" w:rsidRPr="00967C9B" w:rsidRDefault="00141070" w:rsidP="00DD3961">
      <w:pPr>
        <w:pStyle w:val="ListParagraph"/>
        <w:numPr>
          <w:ilvl w:val="0"/>
          <w:numId w:val="19"/>
        </w:num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These activities will be carried out during the execution of </w:t>
      </w:r>
      <w:r w:rsidR="00ED7734" w:rsidRPr="00967C9B">
        <w:rPr>
          <w:rFonts w:ascii="Calibri" w:eastAsia="Times New Roman" w:hAnsi="Calibri" w:cs="Calibri"/>
          <w:color w:val="000000"/>
          <w:lang w:eastAsia="en-CA"/>
        </w:rPr>
        <w:t xml:space="preserve">Outcome </w:t>
      </w:r>
      <w:r w:rsidRPr="00967C9B">
        <w:rPr>
          <w:rFonts w:ascii="Calibri" w:eastAsia="Times New Roman" w:hAnsi="Calibri" w:cs="Calibri"/>
          <w:color w:val="000000"/>
          <w:lang w:eastAsia="en-CA"/>
        </w:rPr>
        <w:t>3</w:t>
      </w:r>
      <w:r w:rsidR="00DC46E0" w:rsidRPr="00967C9B">
        <w:rPr>
          <w:rFonts w:ascii="Calibri" w:eastAsia="Times New Roman" w:hAnsi="Calibri" w:cs="Calibri"/>
          <w:color w:val="000000"/>
          <w:lang w:eastAsia="en-CA"/>
        </w:rPr>
        <w:t xml:space="preserve"> (years 1,2,3)</w:t>
      </w:r>
      <w:r w:rsidRPr="00967C9B">
        <w:rPr>
          <w:rFonts w:ascii="Calibri" w:eastAsia="Times New Roman" w:hAnsi="Calibri" w:cs="Calibri"/>
          <w:color w:val="000000"/>
          <w:lang w:eastAsia="en-CA"/>
        </w:rPr>
        <w:t>.</w:t>
      </w:r>
    </w:p>
    <w:p w14:paraId="25497E14" w14:textId="1FF03EAD" w:rsidR="00440897" w:rsidRPr="00967C9B" w:rsidRDefault="00440897" w:rsidP="00DD3961">
      <w:pPr>
        <w:pStyle w:val="ListParagraph"/>
        <w:numPr>
          <w:ilvl w:val="0"/>
          <w:numId w:val="19"/>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Training on gender equality will be carried out for the project execution team where the team will be sensitized for a proper integration of the approach.</w:t>
      </w:r>
      <w:r w:rsidRPr="00967C9B">
        <w:rPr>
          <w:rFonts w:ascii="Times New Roman" w:eastAsia="Times New Roman" w:hAnsi="Times New Roman" w:cs="Times New Roman"/>
          <w:sz w:val="24"/>
          <w:szCs w:val="24"/>
          <w:lang w:eastAsia="en-CA"/>
        </w:rPr>
        <w:t xml:space="preserve"> </w:t>
      </w:r>
      <w:r w:rsidRPr="00967C9B">
        <w:rPr>
          <w:rFonts w:ascii="Calibri" w:eastAsia="Times New Roman" w:hAnsi="Calibri" w:cs="Calibri"/>
          <w:color w:val="000000"/>
          <w:lang w:eastAsia="en-CA"/>
        </w:rPr>
        <w:t xml:space="preserve">This activity will be carried out at the beginning of the execution of the project. </w:t>
      </w:r>
    </w:p>
    <w:p w14:paraId="1A600631"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25F4D1AA" w14:textId="7AEC19BF" w:rsidR="00EE50C4" w:rsidRPr="00967C9B" w:rsidRDefault="00DE0C7E" w:rsidP="00DD3961">
      <w:pPr>
        <w:spacing w:after="0" w:line="240" w:lineRule="auto"/>
        <w:jc w:val="both"/>
        <w:rPr>
          <w:rFonts w:cs="AppleSystemUIFont"/>
          <w:color w:val="353535"/>
        </w:rPr>
      </w:pPr>
      <w:r w:rsidRPr="00967C9B">
        <w:rPr>
          <w:rFonts w:eastAsia="Times New Roman" w:cs="Calibri"/>
          <w:b/>
          <w:bCs/>
          <w:color w:val="000000"/>
          <w:lang w:eastAsia="en-CA"/>
        </w:rPr>
        <w:t>Outcome</w:t>
      </w:r>
      <w:r w:rsidR="00CA7139" w:rsidRPr="00967C9B">
        <w:rPr>
          <w:rFonts w:eastAsia="Times New Roman" w:cs="Calibri"/>
          <w:b/>
          <w:bCs/>
          <w:color w:val="000000"/>
          <w:lang w:eastAsia="en-CA"/>
        </w:rPr>
        <w:t xml:space="preserve"> </w:t>
      </w:r>
      <w:r w:rsidR="00141070" w:rsidRPr="00967C9B">
        <w:rPr>
          <w:rFonts w:eastAsia="Times New Roman" w:cs="Calibri"/>
          <w:b/>
          <w:bCs/>
          <w:color w:val="000000"/>
          <w:lang w:eastAsia="en-CA"/>
        </w:rPr>
        <w:t>4</w:t>
      </w:r>
      <w:r w:rsidR="0091401F" w:rsidRPr="00967C9B">
        <w:rPr>
          <w:rFonts w:eastAsia="Times New Roman" w:cs="Calibri"/>
          <w:b/>
          <w:bCs/>
          <w:color w:val="000000"/>
          <w:lang w:eastAsia="en-CA"/>
        </w:rPr>
        <w:t xml:space="preserve">.1 </w:t>
      </w:r>
      <w:r w:rsidR="00EC421B" w:rsidRPr="00967C9B">
        <w:rPr>
          <w:rFonts w:eastAsia="Times New Roman" w:cs="Calibri"/>
          <w:b/>
          <w:bCs/>
          <w:color w:val="000000"/>
          <w:lang w:eastAsia="en-CA"/>
        </w:rPr>
        <w:t>–</w:t>
      </w:r>
      <w:r w:rsidR="00141070" w:rsidRPr="00967C9B">
        <w:rPr>
          <w:rFonts w:eastAsia="Times New Roman" w:cs="Calibri"/>
          <w:b/>
          <w:bCs/>
          <w:color w:val="000000"/>
          <w:lang w:eastAsia="en-CA"/>
        </w:rPr>
        <w:t xml:space="preserve"> </w:t>
      </w:r>
      <w:r w:rsidR="00787463" w:rsidRPr="00967C9B">
        <w:rPr>
          <w:rFonts w:cs="AppleSystemUIFont"/>
          <w:color w:val="353535"/>
        </w:rPr>
        <w:t>S</w:t>
      </w:r>
      <w:r w:rsidR="00EC421B" w:rsidRPr="00967C9B">
        <w:rPr>
          <w:rFonts w:cs="AppleSystemUIFont"/>
          <w:color w:val="353535"/>
        </w:rPr>
        <w:t>mall-</w:t>
      </w:r>
      <w:r w:rsidR="00EE50C4" w:rsidRPr="00967C9B">
        <w:rPr>
          <w:rFonts w:cs="AppleSystemUIFont"/>
          <w:color w:val="353535"/>
        </w:rPr>
        <w:t xml:space="preserve">scale innovative interventions on IWRM </w:t>
      </w:r>
    </w:p>
    <w:p w14:paraId="2B0CB196" w14:textId="77777777" w:rsidR="0091401F" w:rsidRPr="00967C9B" w:rsidRDefault="0091401F" w:rsidP="00DD3961">
      <w:pPr>
        <w:spacing w:after="0" w:line="240" w:lineRule="auto"/>
        <w:jc w:val="both"/>
        <w:rPr>
          <w:rFonts w:cs="AppleSystemUIFont"/>
          <w:color w:val="353535"/>
        </w:rPr>
      </w:pPr>
    </w:p>
    <w:p w14:paraId="1425E2B9" w14:textId="60713798" w:rsidR="00141070" w:rsidRPr="00967C9B" w:rsidRDefault="00141070" w:rsidP="00DD3961">
      <w:pPr>
        <w:pStyle w:val="ListParagraph"/>
        <w:numPr>
          <w:ilvl w:val="0"/>
          <w:numId w:val="20"/>
        </w:numPr>
        <w:spacing w:after="0" w:line="240" w:lineRule="auto"/>
        <w:jc w:val="both"/>
        <w:rPr>
          <w:rFonts w:ascii="Calibri" w:eastAsia="Times New Roman" w:hAnsi="Calibri" w:cs="Calibri"/>
          <w:lang w:eastAsia="en-CA"/>
        </w:rPr>
      </w:pPr>
      <w:r w:rsidRPr="00967C9B">
        <w:rPr>
          <w:rFonts w:ascii="Calibri" w:eastAsia="Times New Roman" w:hAnsi="Calibri" w:cs="Calibri"/>
          <w:color w:val="000000"/>
          <w:lang w:eastAsia="en-CA"/>
        </w:rPr>
        <w:t xml:space="preserve">In the design of the pilot projects, the baseline where the beneficiaries were identified and </w:t>
      </w:r>
      <w:r w:rsidRPr="00967C9B">
        <w:rPr>
          <w:rFonts w:ascii="Calibri" w:eastAsia="Times New Roman" w:hAnsi="Calibri" w:cs="Calibri"/>
          <w:lang w:eastAsia="en-CA"/>
        </w:rPr>
        <w:t>their disaggregation by sex was determined.</w:t>
      </w:r>
      <w:r w:rsidR="0091401F" w:rsidRPr="00967C9B">
        <w:rPr>
          <w:rFonts w:ascii="Calibri" w:eastAsia="Times New Roman" w:hAnsi="Calibri" w:cs="Calibri"/>
          <w:lang w:eastAsia="en-CA"/>
        </w:rPr>
        <w:t xml:space="preserve"> </w:t>
      </w:r>
      <w:r w:rsidR="00C92DB8" w:rsidRPr="00967C9B">
        <w:rPr>
          <w:rFonts w:ascii="Calibri" w:eastAsia="Times New Roman" w:hAnsi="Calibri" w:cs="Calibri"/>
          <w:lang w:eastAsia="en-CA"/>
        </w:rPr>
        <w:t>A</w:t>
      </w:r>
      <w:r w:rsidR="00D25A18" w:rsidRPr="00967C9B">
        <w:rPr>
          <w:rFonts w:ascii="Calibri" w:eastAsia="Times New Roman" w:hAnsi="Calibri" w:cs="Calibri"/>
          <w:lang w:eastAsia="en-CA"/>
        </w:rPr>
        <w:t xml:space="preserve"> minimum percentage of 30% is included in the training processes, the socialization of results, and feedback of information that becomes reality in the framework of its implementation. This measure is an affirmative action that will be recorded in the reports and records of participation as a means of verification.</w:t>
      </w:r>
    </w:p>
    <w:p w14:paraId="554D932F" w14:textId="77777777" w:rsidR="0091401F" w:rsidRPr="00967C9B" w:rsidRDefault="0091401F" w:rsidP="00DD3961">
      <w:pPr>
        <w:spacing w:after="0" w:line="240" w:lineRule="auto"/>
        <w:jc w:val="both"/>
        <w:rPr>
          <w:rFonts w:ascii="Times New Roman" w:eastAsia="Times New Roman" w:hAnsi="Times New Roman" w:cs="Times New Roman"/>
          <w:sz w:val="24"/>
          <w:szCs w:val="24"/>
          <w:lang w:eastAsia="en-CA"/>
        </w:rPr>
      </w:pPr>
    </w:p>
    <w:p w14:paraId="03C32BE2" w14:textId="4548C168"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lang w:eastAsia="en-CA"/>
        </w:rPr>
        <w:t xml:space="preserve">These activities will be carried out during the execution of </w:t>
      </w:r>
      <w:r w:rsidR="00C92DB8" w:rsidRPr="00967C9B">
        <w:rPr>
          <w:rFonts w:ascii="Calibri" w:eastAsia="Times New Roman" w:hAnsi="Calibri" w:cs="Calibri"/>
          <w:lang w:eastAsia="en-CA"/>
        </w:rPr>
        <w:t xml:space="preserve">Outcome </w:t>
      </w:r>
      <w:r w:rsidRPr="00967C9B">
        <w:rPr>
          <w:rFonts w:ascii="Calibri" w:eastAsia="Times New Roman" w:hAnsi="Calibri" w:cs="Calibri"/>
          <w:lang w:eastAsia="en-CA"/>
        </w:rPr>
        <w:t>4</w:t>
      </w:r>
      <w:r w:rsidR="00ED7734" w:rsidRPr="00967C9B">
        <w:rPr>
          <w:rFonts w:ascii="Calibri" w:eastAsia="Times New Roman" w:hAnsi="Calibri" w:cs="Calibri"/>
          <w:lang w:eastAsia="en-CA"/>
        </w:rPr>
        <w:t xml:space="preserve"> (years 1,2,3,4)</w:t>
      </w:r>
    </w:p>
    <w:p w14:paraId="7177311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9E1FCDE" w14:textId="7D439598" w:rsidR="00011574" w:rsidRPr="00967C9B" w:rsidRDefault="00EE50C4" w:rsidP="00DD3961">
      <w:pPr>
        <w:spacing w:after="0" w:line="240" w:lineRule="auto"/>
        <w:jc w:val="both"/>
        <w:rPr>
          <w:rFonts w:eastAsia="Times New Roman" w:cs="Calibri"/>
          <w:b/>
          <w:bCs/>
          <w:lang w:eastAsia="en-CA"/>
        </w:rPr>
      </w:pPr>
      <w:r w:rsidRPr="00967C9B">
        <w:rPr>
          <w:rFonts w:eastAsia="Times New Roman" w:cs="Calibri"/>
          <w:b/>
          <w:bCs/>
          <w:lang w:eastAsia="en-CA"/>
        </w:rPr>
        <w:t>Outcome 4.2</w:t>
      </w:r>
      <w:r w:rsidR="00011574" w:rsidRPr="00967C9B">
        <w:rPr>
          <w:rFonts w:eastAsia="Times New Roman" w:cs="Calibri"/>
          <w:b/>
          <w:bCs/>
          <w:lang w:eastAsia="en-CA"/>
        </w:rPr>
        <w:t xml:space="preserve">: </w:t>
      </w:r>
      <w:r w:rsidRPr="00967C9B">
        <w:rPr>
          <w:rFonts w:cs="AppleSystemUIFont"/>
        </w:rPr>
        <w:t>Systematization of results, lessons and experience from the project</w:t>
      </w:r>
    </w:p>
    <w:p w14:paraId="0DAE8002" w14:textId="52F516F1" w:rsidR="00011574" w:rsidRPr="00967C9B" w:rsidRDefault="00011574" w:rsidP="00DD3961">
      <w:pPr>
        <w:spacing w:after="0" w:line="240" w:lineRule="auto"/>
        <w:jc w:val="both"/>
        <w:rPr>
          <w:rFonts w:ascii="Times New Roman" w:eastAsia="Times New Roman" w:hAnsi="Times New Roman" w:cs="Times New Roman"/>
          <w:sz w:val="24"/>
          <w:szCs w:val="24"/>
          <w:lang w:eastAsia="en-CA"/>
        </w:rPr>
      </w:pPr>
    </w:p>
    <w:p w14:paraId="1B68C08C" w14:textId="3E4E95AE" w:rsidR="00AC36F8" w:rsidRPr="00967C9B" w:rsidRDefault="00AC36F8" w:rsidP="00DD3961">
      <w:pPr>
        <w:pStyle w:val="ListParagraph"/>
        <w:numPr>
          <w:ilvl w:val="0"/>
          <w:numId w:val="20"/>
        </w:numPr>
        <w:spacing w:after="0" w:line="240" w:lineRule="auto"/>
        <w:jc w:val="both"/>
        <w:rPr>
          <w:rFonts w:cs="AppleSystemUIFont"/>
        </w:rPr>
      </w:pPr>
      <w:r w:rsidRPr="00967C9B">
        <w:rPr>
          <w:rFonts w:cs="AppleSystemUIFont"/>
        </w:rPr>
        <w:t>The participation in events for dissemination of lessons and best practices is monitored, where a minimum percentag</w:t>
      </w:r>
      <w:r w:rsidR="00ED7734" w:rsidRPr="00967C9B">
        <w:rPr>
          <w:rFonts w:cs="AppleSystemUIFont"/>
        </w:rPr>
        <w:t>e of women of 30% is integrated. These activities will be carried out during the execution of Outcome 4.2 (years 1,2,3,4).</w:t>
      </w:r>
    </w:p>
    <w:p w14:paraId="1359BB40" w14:textId="5AC08244" w:rsidR="00DC46E0" w:rsidRPr="00967C9B" w:rsidRDefault="00AC36F8" w:rsidP="00DD3961">
      <w:pPr>
        <w:pStyle w:val="ListParagraph"/>
        <w:numPr>
          <w:ilvl w:val="0"/>
          <w:numId w:val="20"/>
        </w:numPr>
        <w:spacing w:after="0" w:line="240" w:lineRule="auto"/>
        <w:jc w:val="both"/>
        <w:rPr>
          <w:rFonts w:cs="AppleSystemUIFont"/>
        </w:rPr>
      </w:pPr>
      <w:r w:rsidRPr="00967C9B">
        <w:rPr>
          <w:rFonts w:cs="AppleSystemUIFont"/>
        </w:rPr>
        <w:t xml:space="preserve">Specific meetings are held with women's organizations to review their integration in the project. </w:t>
      </w:r>
    </w:p>
    <w:p w14:paraId="3A63BC57" w14:textId="77777777" w:rsidR="00DC46E0" w:rsidRPr="00967C9B" w:rsidRDefault="00DC46E0" w:rsidP="00DD3961">
      <w:pPr>
        <w:spacing w:after="0" w:line="240" w:lineRule="auto"/>
        <w:jc w:val="both"/>
        <w:rPr>
          <w:rFonts w:cs="AppleSystemUIFont"/>
        </w:rPr>
      </w:pPr>
    </w:p>
    <w:p w14:paraId="596FFE6C" w14:textId="3FD94000" w:rsidR="00AB072F" w:rsidRPr="00967C9B" w:rsidRDefault="00AC36F8" w:rsidP="00DD3961">
      <w:pPr>
        <w:spacing w:after="0" w:line="240" w:lineRule="auto"/>
        <w:jc w:val="both"/>
        <w:rPr>
          <w:rFonts w:eastAsia="Times New Roman" w:cs="Calibri"/>
          <w:lang w:eastAsia="en-CA"/>
        </w:rPr>
      </w:pPr>
      <w:r w:rsidRPr="00967C9B">
        <w:rPr>
          <w:rFonts w:cs="AppleSystemUIFont"/>
        </w:rPr>
        <w:t>These meetings will be carried out once every year.</w:t>
      </w:r>
    </w:p>
    <w:p w14:paraId="57D845F0" w14:textId="77777777" w:rsidR="00DC46E0" w:rsidRPr="00967C9B" w:rsidRDefault="00DC46E0" w:rsidP="00DD3961">
      <w:pPr>
        <w:spacing w:after="0" w:line="240" w:lineRule="auto"/>
        <w:jc w:val="both"/>
        <w:rPr>
          <w:rFonts w:eastAsia="Times New Roman" w:cs="Calibri"/>
          <w:lang w:eastAsia="en-CA"/>
        </w:rPr>
      </w:pPr>
    </w:p>
    <w:p w14:paraId="024C8F6E" w14:textId="0F16DC75" w:rsidR="000B1248" w:rsidRPr="00967C9B" w:rsidRDefault="00AC36F8" w:rsidP="00DD3961">
      <w:pPr>
        <w:spacing w:after="0" w:line="240" w:lineRule="auto"/>
        <w:jc w:val="both"/>
        <w:rPr>
          <w:rFonts w:cs="AppleSystemUIFont"/>
        </w:rPr>
      </w:pPr>
      <w:r w:rsidRPr="00967C9B">
        <w:rPr>
          <w:rFonts w:cs="AppleSystemUIFont"/>
        </w:rPr>
        <w:t xml:space="preserve">The outcomes of the project where gender-specific indicators have been </w:t>
      </w:r>
      <w:r w:rsidR="009204F3" w:rsidRPr="00967C9B">
        <w:rPr>
          <w:rFonts w:cs="AppleSystemUIFont"/>
        </w:rPr>
        <w:t>integrated are presented below (t</w:t>
      </w:r>
      <w:r w:rsidRPr="00967C9B">
        <w:rPr>
          <w:rFonts w:cs="AppleSystemUIFont"/>
        </w:rPr>
        <w:t xml:space="preserve">o have complete information on all the actions that integrate gender aspects in the project, </w:t>
      </w:r>
      <w:r w:rsidR="009204F3" w:rsidRPr="00967C9B">
        <w:rPr>
          <w:rFonts w:cs="AppleSystemUIFont"/>
        </w:rPr>
        <w:t>please refer to S</w:t>
      </w:r>
      <w:r w:rsidRPr="00967C9B">
        <w:rPr>
          <w:rFonts w:cs="AppleSystemUIFont"/>
        </w:rPr>
        <w:t>ection 10</w:t>
      </w:r>
      <w:r w:rsidR="009204F3" w:rsidRPr="00967C9B">
        <w:rPr>
          <w:rFonts w:cs="AppleSystemUIFont"/>
        </w:rPr>
        <w:t>):</w:t>
      </w:r>
    </w:p>
    <w:p w14:paraId="65FA4C5E" w14:textId="77777777" w:rsidR="00DC46E0" w:rsidRPr="00967C9B" w:rsidRDefault="00DC46E0" w:rsidP="00DD3961">
      <w:pPr>
        <w:spacing w:after="0" w:line="240" w:lineRule="auto"/>
        <w:jc w:val="both"/>
        <w:rPr>
          <w:rFonts w:cs="AppleSystemUIFont"/>
          <w:color w:val="353535"/>
        </w:rPr>
      </w:pPr>
    </w:p>
    <w:p w14:paraId="0C7924EF" w14:textId="77777777" w:rsidR="00574189" w:rsidRPr="00967C9B" w:rsidRDefault="00574189" w:rsidP="00DD3961">
      <w:pPr>
        <w:spacing w:after="0" w:line="240" w:lineRule="auto"/>
        <w:jc w:val="both"/>
        <w:rPr>
          <w:rFonts w:cs="AppleSystemUIFont"/>
          <w:color w:val="353535"/>
        </w:rPr>
      </w:pPr>
    </w:p>
    <w:p w14:paraId="1E8A8BA4" w14:textId="77777777" w:rsidR="00574189" w:rsidRPr="00967C9B" w:rsidRDefault="00574189" w:rsidP="00DD3961">
      <w:pPr>
        <w:spacing w:after="0" w:line="240" w:lineRule="auto"/>
        <w:jc w:val="both"/>
        <w:rPr>
          <w:rFonts w:cs="AppleSystemUIFont"/>
          <w:color w:val="353535"/>
        </w:rPr>
      </w:pPr>
    </w:p>
    <w:p w14:paraId="441BC980" w14:textId="77777777" w:rsidR="00574189" w:rsidRPr="00967C9B" w:rsidRDefault="00574189" w:rsidP="000272B5">
      <w:pPr>
        <w:spacing w:after="0" w:line="240" w:lineRule="auto"/>
        <w:rPr>
          <w:rFonts w:cs="AppleSystemUIFont"/>
          <w:color w:val="353535"/>
        </w:rPr>
      </w:pPr>
    </w:p>
    <w:p w14:paraId="790E12CE" w14:textId="77777777" w:rsidR="00574189" w:rsidRPr="00967C9B" w:rsidRDefault="00574189" w:rsidP="000272B5">
      <w:pPr>
        <w:spacing w:after="0" w:line="240" w:lineRule="auto"/>
        <w:rPr>
          <w:rFonts w:cs="AppleSystemUIFont"/>
          <w:color w:val="353535"/>
        </w:rPr>
      </w:pPr>
    </w:p>
    <w:p w14:paraId="2BF46AD7" w14:textId="77777777" w:rsidR="00574189" w:rsidRPr="00967C9B" w:rsidRDefault="00574189" w:rsidP="000272B5">
      <w:pPr>
        <w:spacing w:after="0" w:line="240" w:lineRule="auto"/>
        <w:rPr>
          <w:rFonts w:cs="AppleSystemUIFont"/>
          <w:color w:val="353535"/>
        </w:rPr>
      </w:pPr>
    </w:p>
    <w:p w14:paraId="5AB37346" w14:textId="7E1AAC0A" w:rsidR="00574189" w:rsidRDefault="00574189" w:rsidP="000272B5">
      <w:pPr>
        <w:spacing w:after="0" w:line="240" w:lineRule="auto"/>
        <w:rPr>
          <w:rFonts w:cs="AppleSystemUIFont"/>
          <w:color w:val="353535"/>
        </w:rPr>
      </w:pPr>
    </w:p>
    <w:p w14:paraId="6047074C" w14:textId="1FEFDEA1" w:rsidR="00DD3961" w:rsidRDefault="00DD3961" w:rsidP="000272B5">
      <w:pPr>
        <w:spacing w:after="0" w:line="240" w:lineRule="auto"/>
        <w:rPr>
          <w:rFonts w:cs="AppleSystemUIFont"/>
          <w:color w:val="353535"/>
        </w:rPr>
      </w:pPr>
    </w:p>
    <w:p w14:paraId="503C8F2B" w14:textId="3E4D45CE" w:rsidR="00DD3961" w:rsidRDefault="00DD3961" w:rsidP="000272B5">
      <w:pPr>
        <w:spacing w:after="0" w:line="240" w:lineRule="auto"/>
        <w:rPr>
          <w:rFonts w:cs="AppleSystemUIFont"/>
          <w:color w:val="353535"/>
        </w:rPr>
      </w:pPr>
    </w:p>
    <w:p w14:paraId="357BB9DE" w14:textId="66963ECE" w:rsidR="00DD3961" w:rsidRDefault="00DD3961" w:rsidP="000272B5">
      <w:pPr>
        <w:spacing w:after="0" w:line="240" w:lineRule="auto"/>
        <w:rPr>
          <w:rFonts w:cs="AppleSystemUIFont"/>
          <w:color w:val="353535"/>
        </w:rPr>
      </w:pPr>
    </w:p>
    <w:p w14:paraId="2CF457C7" w14:textId="77777777" w:rsidR="00DD3961" w:rsidRPr="00967C9B" w:rsidRDefault="00DD3961" w:rsidP="000272B5">
      <w:pPr>
        <w:spacing w:after="0" w:line="240" w:lineRule="auto"/>
        <w:rPr>
          <w:rFonts w:cs="AppleSystemUIFont"/>
          <w:color w:val="353535"/>
        </w:rPr>
      </w:pPr>
    </w:p>
    <w:p w14:paraId="315A34F9" w14:textId="77777777" w:rsidR="00574189" w:rsidRPr="00967C9B" w:rsidRDefault="00574189" w:rsidP="000272B5">
      <w:pPr>
        <w:spacing w:after="0" w:line="240" w:lineRule="auto"/>
        <w:rPr>
          <w:rFonts w:cs="AppleSystemUIFont"/>
          <w:color w:val="353535"/>
        </w:rPr>
      </w:pPr>
    </w:p>
    <w:p w14:paraId="6CAF078D" w14:textId="77777777" w:rsidR="00574189" w:rsidRPr="00967C9B" w:rsidRDefault="00574189" w:rsidP="000272B5">
      <w:pPr>
        <w:spacing w:after="0" w:line="240" w:lineRule="auto"/>
        <w:rPr>
          <w:rFonts w:cs="AppleSystemUIFont"/>
          <w:color w:val="353535"/>
        </w:rPr>
      </w:pPr>
    </w:p>
    <w:p w14:paraId="77CDC8C2" w14:textId="77777777" w:rsidR="00AC36F8" w:rsidRPr="00967C9B" w:rsidRDefault="00AC36F8" w:rsidP="000272B5">
      <w:pPr>
        <w:spacing w:after="0" w:line="240" w:lineRule="auto"/>
        <w:rPr>
          <w:rFonts w:eastAsia="Times New Roman" w:cs="Times New Roman"/>
          <w:lang w:eastAsia="en-CA"/>
        </w:rPr>
      </w:pPr>
    </w:p>
    <w:tbl>
      <w:tblPr>
        <w:tblStyle w:val="TableGrid"/>
        <w:tblW w:w="9214" w:type="dxa"/>
        <w:tblInd w:w="250" w:type="dxa"/>
        <w:tblLayout w:type="fixed"/>
        <w:tblLook w:val="04A0" w:firstRow="1" w:lastRow="0" w:firstColumn="1" w:lastColumn="0" w:noHBand="0" w:noVBand="1"/>
      </w:tblPr>
      <w:tblGrid>
        <w:gridCol w:w="1559"/>
        <w:gridCol w:w="1701"/>
        <w:gridCol w:w="851"/>
        <w:gridCol w:w="1559"/>
        <w:gridCol w:w="1276"/>
        <w:gridCol w:w="850"/>
        <w:gridCol w:w="1418"/>
      </w:tblGrid>
      <w:tr w:rsidR="0077468D" w:rsidRPr="00967C9B" w14:paraId="0378D188" w14:textId="77777777" w:rsidTr="00DC46E0">
        <w:trPr>
          <w:trHeight w:val="431"/>
        </w:trPr>
        <w:tc>
          <w:tcPr>
            <w:tcW w:w="9214" w:type="dxa"/>
            <w:gridSpan w:val="7"/>
            <w:tcBorders>
              <w:top w:val="single" w:sz="4" w:space="0" w:color="549E39"/>
              <w:left w:val="single" w:sz="4" w:space="0" w:color="549E39"/>
              <w:bottom w:val="single" w:sz="4" w:space="0" w:color="549E39"/>
              <w:right w:val="single" w:sz="4" w:space="0" w:color="549E39"/>
            </w:tcBorders>
          </w:tcPr>
          <w:p w14:paraId="1F6BBE86" w14:textId="1888C5D4" w:rsidR="0077468D" w:rsidRPr="00967C9B" w:rsidRDefault="006A038A" w:rsidP="006636E4">
            <w:pPr>
              <w:jc w:val="center"/>
              <w:rPr>
                <w:b/>
                <w:sz w:val="20"/>
                <w:szCs w:val="20"/>
              </w:rPr>
            </w:pPr>
            <w:r w:rsidRPr="00967C9B">
              <w:rPr>
                <w:b/>
                <w:sz w:val="20"/>
                <w:szCs w:val="20"/>
              </w:rPr>
              <w:t xml:space="preserve">Summary of </w:t>
            </w:r>
            <w:r w:rsidR="0077468D" w:rsidRPr="00967C9B">
              <w:rPr>
                <w:b/>
                <w:sz w:val="20"/>
                <w:szCs w:val="20"/>
              </w:rPr>
              <w:t xml:space="preserve">Project </w:t>
            </w:r>
            <w:r w:rsidR="006636E4" w:rsidRPr="00967C9B">
              <w:rPr>
                <w:b/>
                <w:sz w:val="20"/>
                <w:szCs w:val="20"/>
              </w:rPr>
              <w:t xml:space="preserve">Indicators </w:t>
            </w:r>
          </w:p>
        </w:tc>
      </w:tr>
      <w:tr w:rsidR="0077468D" w:rsidRPr="00967C9B" w14:paraId="3A1A8F5C" w14:textId="77777777" w:rsidTr="00DC46E0">
        <w:tc>
          <w:tcPr>
            <w:tcW w:w="9214" w:type="dxa"/>
            <w:gridSpan w:val="7"/>
            <w:tcBorders>
              <w:top w:val="single" w:sz="4" w:space="0" w:color="549E39"/>
              <w:left w:val="single" w:sz="4" w:space="0" w:color="549E39"/>
              <w:bottom w:val="single" w:sz="4" w:space="0" w:color="549E39"/>
              <w:right w:val="single" w:sz="4" w:space="0" w:color="549E39"/>
            </w:tcBorders>
          </w:tcPr>
          <w:p w14:paraId="052822CA" w14:textId="77777777" w:rsidR="0077468D" w:rsidRPr="00967C9B" w:rsidRDefault="0077468D" w:rsidP="005C6552">
            <w:pPr>
              <w:rPr>
                <w:bCs/>
                <w:sz w:val="18"/>
                <w:szCs w:val="18"/>
              </w:rPr>
            </w:pPr>
            <w:r w:rsidRPr="00967C9B">
              <w:rPr>
                <w:i/>
                <w:sz w:val="18"/>
                <w:szCs w:val="18"/>
              </w:rPr>
              <w:t xml:space="preserve">Project-level outcome 1:  </w:t>
            </w:r>
            <w:r w:rsidRPr="00967C9B">
              <w:rPr>
                <w:bCs/>
                <w:sz w:val="18"/>
                <w:szCs w:val="18"/>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4D0B0062" w14:textId="77777777" w:rsidR="00DC46E0" w:rsidRPr="00967C9B" w:rsidRDefault="00DC46E0" w:rsidP="005C6552">
            <w:pPr>
              <w:rPr>
                <w:i/>
                <w:sz w:val="18"/>
                <w:szCs w:val="18"/>
              </w:rPr>
            </w:pPr>
          </w:p>
        </w:tc>
      </w:tr>
      <w:tr w:rsidR="0077468D" w:rsidRPr="00967C9B" w14:paraId="58A67685" w14:textId="77777777" w:rsidTr="00DC46E0">
        <w:tc>
          <w:tcPr>
            <w:tcW w:w="1559" w:type="dxa"/>
            <w:tcBorders>
              <w:top w:val="single" w:sz="4" w:space="0" w:color="549E39"/>
              <w:left w:val="single" w:sz="4" w:space="0" w:color="549E39"/>
              <w:bottom w:val="single" w:sz="4" w:space="0" w:color="549E39"/>
              <w:right w:val="single" w:sz="4" w:space="0" w:color="549E39"/>
            </w:tcBorders>
          </w:tcPr>
          <w:p w14:paraId="27FA9B82" w14:textId="77777777" w:rsidR="0077468D" w:rsidRPr="00967C9B" w:rsidRDefault="0077468D" w:rsidP="005C6552">
            <w:pPr>
              <w:rPr>
                <w:sz w:val="18"/>
                <w:szCs w:val="18"/>
              </w:rPr>
            </w:pPr>
            <w:r w:rsidRPr="00967C9B">
              <w:rPr>
                <w:sz w:val="18"/>
                <w:szCs w:val="18"/>
              </w:rPr>
              <w:t>Gender-related activity</w:t>
            </w:r>
          </w:p>
        </w:tc>
        <w:tc>
          <w:tcPr>
            <w:tcW w:w="1701" w:type="dxa"/>
            <w:tcBorders>
              <w:top w:val="single" w:sz="4" w:space="0" w:color="549E39"/>
              <w:left w:val="single" w:sz="4" w:space="0" w:color="549E39"/>
              <w:bottom w:val="single" w:sz="4" w:space="0" w:color="549E39"/>
            </w:tcBorders>
          </w:tcPr>
          <w:p w14:paraId="542C90F5" w14:textId="77777777" w:rsidR="0077468D" w:rsidRPr="00967C9B" w:rsidRDefault="0077468D" w:rsidP="005C6552">
            <w:pPr>
              <w:rPr>
                <w:sz w:val="18"/>
                <w:szCs w:val="18"/>
              </w:rPr>
            </w:pPr>
            <w:r w:rsidRPr="00967C9B">
              <w:rPr>
                <w:sz w:val="18"/>
                <w:szCs w:val="18"/>
              </w:rPr>
              <w:t>Indicator</w:t>
            </w:r>
          </w:p>
        </w:tc>
        <w:tc>
          <w:tcPr>
            <w:tcW w:w="851" w:type="dxa"/>
            <w:tcBorders>
              <w:top w:val="single" w:sz="4" w:space="0" w:color="549E39"/>
              <w:bottom w:val="single" w:sz="4" w:space="0" w:color="549E39"/>
            </w:tcBorders>
          </w:tcPr>
          <w:p w14:paraId="4CC1F2D3" w14:textId="77777777" w:rsidR="0077468D" w:rsidRPr="00967C9B" w:rsidRDefault="0077468D" w:rsidP="005C6552">
            <w:pPr>
              <w:rPr>
                <w:sz w:val="18"/>
                <w:szCs w:val="18"/>
              </w:rPr>
            </w:pPr>
            <w:r w:rsidRPr="00967C9B">
              <w:rPr>
                <w:sz w:val="18"/>
                <w:szCs w:val="18"/>
              </w:rPr>
              <w:t>Target</w:t>
            </w:r>
          </w:p>
        </w:tc>
        <w:tc>
          <w:tcPr>
            <w:tcW w:w="1559" w:type="dxa"/>
            <w:tcBorders>
              <w:top w:val="single" w:sz="4" w:space="0" w:color="549E39"/>
              <w:bottom w:val="single" w:sz="4" w:space="0" w:color="549E39"/>
              <w:right w:val="single" w:sz="4" w:space="0" w:color="549E39"/>
            </w:tcBorders>
          </w:tcPr>
          <w:p w14:paraId="478D711A" w14:textId="77777777" w:rsidR="0077468D" w:rsidRPr="00967C9B" w:rsidRDefault="0077468D" w:rsidP="005C6552">
            <w:pPr>
              <w:rPr>
                <w:sz w:val="18"/>
                <w:szCs w:val="18"/>
              </w:rPr>
            </w:pPr>
            <w:r w:rsidRPr="00967C9B">
              <w:rPr>
                <w:sz w:val="18"/>
                <w:szCs w:val="18"/>
              </w:rPr>
              <w:t>Baseline</w:t>
            </w:r>
          </w:p>
        </w:tc>
        <w:tc>
          <w:tcPr>
            <w:tcW w:w="1276" w:type="dxa"/>
            <w:tcBorders>
              <w:top w:val="single" w:sz="4" w:space="0" w:color="549E39"/>
              <w:left w:val="single" w:sz="4" w:space="0" w:color="549E39"/>
              <w:bottom w:val="single" w:sz="4" w:space="0" w:color="549E39"/>
              <w:right w:val="single" w:sz="4" w:space="0" w:color="549E39"/>
            </w:tcBorders>
          </w:tcPr>
          <w:p w14:paraId="1838D43B" w14:textId="77777777" w:rsidR="0077468D" w:rsidRPr="00967C9B" w:rsidRDefault="0077468D" w:rsidP="005C6552">
            <w:pPr>
              <w:rPr>
                <w:sz w:val="18"/>
                <w:szCs w:val="18"/>
              </w:rPr>
            </w:pPr>
            <w:r w:rsidRPr="00967C9B">
              <w:rPr>
                <w:sz w:val="18"/>
                <w:szCs w:val="18"/>
              </w:rPr>
              <w:t>Budget</w:t>
            </w:r>
          </w:p>
        </w:tc>
        <w:tc>
          <w:tcPr>
            <w:tcW w:w="850" w:type="dxa"/>
            <w:tcBorders>
              <w:top w:val="single" w:sz="4" w:space="0" w:color="549E39"/>
              <w:left w:val="single" w:sz="4" w:space="0" w:color="549E39"/>
              <w:bottom w:val="single" w:sz="4" w:space="0" w:color="549E39"/>
              <w:right w:val="single" w:sz="4" w:space="0" w:color="549E39"/>
            </w:tcBorders>
          </w:tcPr>
          <w:p w14:paraId="5732907B" w14:textId="77777777" w:rsidR="0077468D" w:rsidRPr="00967C9B" w:rsidRDefault="0077468D" w:rsidP="005C6552">
            <w:pPr>
              <w:rPr>
                <w:sz w:val="18"/>
                <w:szCs w:val="18"/>
              </w:rPr>
            </w:pPr>
            <w:r w:rsidRPr="00967C9B">
              <w:rPr>
                <w:sz w:val="18"/>
                <w:szCs w:val="18"/>
              </w:rPr>
              <w:t xml:space="preserve">Timeline </w:t>
            </w:r>
          </w:p>
        </w:tc>
        <w:tc>
          <w:tcPr>
            <w:tcW w:w="1418" w:type="dxa"/>
            <w:tcBorders>
              <w:top w:val="single" w:sz="4" w:space="0" w:color="549E39"/>
              <w:left w:val="single" w:sz="4" w:space="0" w:color="549E39"/>
              <w:right w:val="single" w:sz="4" w:space="0" w:color="549E39"/>
            </w:tcBorders>
          </w:tcPr>
          <w:p w14:paraId="49DDAF9A" w14:textId="77777777" w:rsidR="0077468D" w:rsidRPr="00967C9B" w:rsidRDefault="0077468D" w:rsidP="005C6552">
            <w:pPr>
              <w:rPr>
                <w:sz w:val="18"/>
                <w:szCs w:val="18"/>
              </w:rPr>
            </w:pPr>
            <w:r w:rsidRPr="00967C9B">
              <w:rPr>
                <w:sz w:val="18"/>
                <w:szCs w:val="18"/>
              </w:rPr>
              <w:t>Responsibility</w:t>
            </w:r>
          </w:p>
        </w:tc>
      </w:tr>
      <w:tr w:rsidR="0077468D" w:rsidRPr="00967C9B" w14:paraId="452E00F0" w14:textId="77777777" w:rsidTr="00DC46E0">
        <w:tc>
          <w:tcPr>
            <w:tcW w:w="1559" w:type="dxa"/>
            <w:tcBorders>
              <w:top w:val="single" w:sz="4" w:space="0" w:color="549E39"/>
              <w:left w:val="single" w:sz="4" w:space="0" w:color="549E39"/>
              <w:bottom w:val="single" w:sz="4" w:space="0" w:color="549E39"/>
              <w:right w:val="single" w:sz="4" w:space="0" w:color="549E39"/>
            </w:tcBorders>
          </w:tcPr>
          <w:p w14:paraId="051DA26A" w14:textId="1BE2CD7A" w:rsidR="0077468D" w:rsidRPr="00967C9B" w:rsidRDefault="0077468D" w:rsidP="005C6552">
            <w:pPr>
              <w:rPr>
                <w:sz w:val="18"/>
                <w:szCs w:val="18"/>
              </w:rPr>
            </w:pPr>
            <w:r w:rsidRPr="00967C9B">
              <w:rPr>
                <w:sz w:val="18"/>
                <w:szCs w:val="18"/>
              </w:rPr>
              <w:t xml:space="preserve">Establish of TDA development team with participation of women </w:t>
            </w:r>
          </w:p>
        </w:tc>
        <w:tc>
          <w:tcPr>
            <w:tcW w:w="1701" w:type="dxa"/>
            <w:tcBorders>
              <w:top w:val="single" w:sz="4" w:space="0" w:color="549E39"/>
              <w:left w:val="single" w:sz="4" w:space="0" w:color="549E39"/>
              <w:bottom w:val="single" w:sz="4" w:space="0" w:color="549E39"/>
              <w:right w:val="single" w:sz="4" w:space="0" w:color="549E39"/>
            </w:tcBorders>
          </w:tcPr>
          <w:p w14:paraId="5CEC64AB" w14:textId="77777777" w:rsidR="0077468D" w:rsidRPr="00967C9B" w:rsidRDefault="0077468D" w:rsidP="005C6552">
            <w:pPr>
              <w:rPr>
                <w:sz w:val="18"/>
                <w:szCs w:val="18"/>
              </w:rPr>
            </w:pPr>
            <w:r w:rsidRPr="00967C9B">
              <w:rPr>
                <w:rFonts w:cs="Calibri"/>
                <w:sz w:val="18"/>
                <w:szCs w:val="18"/>
              </w:rPr>
              <w:t>(Indicator 5) Percentage of women in the TDA Development team</w:t>
            </w:r>
          </w:p>
        </w:tc>
        <w:tc>
          <w:tcPr>
            <w:tcW w:w="851" w:type="dxa"/>
            <w:tcBorders>
              <w:top w:val="single" w:sz="4" w:space="0" w:color="549E39"/>
              <w:left w:val="single" w:sz="4" w:space="0" w:color="549E39"/>
              <w:bottom w:val="single" w:sz="4" w:space="0" w:color="549E39"/>
              <w:right w:val="single" w:sz="4" w:space="0" w:color="549E39"/>
            </w:tcBorders>
          </w:tcPr>
          <w:p w14:paraId="73DEDBBE" w14:textId="77777777" w:rsidR="0077468D" w:rsidRPr="00967C9B" w:rsidRDefault="0077468D" w:rsidP="005C6552">
            <w:pPr>
              <w:rPr>
                <w:sz w:val="18"/>
                <w:szCs w:val="18"/>
              </w:rPr>
            </w:pPr>
            <w:r w:rsidRPr="00967C9B">
              <w:rPr>
                <w:sz w:val="18"/>
                <w:szCs w:val="18"/>
              </w:rPr>
              <w:t>40% of members of the team are women.</w:t>
            </w:r>
          </w:p>
        </w:tc>
        <w:tc>
          <w:tcPr>
            <w:tcW w:w="1559" w:type="dxa"/>
            <w:tcBorders>
              <w:top w:val="single" w:sz="4" w:space="0" w:color="549E39"/>
              <w:left w:val="single" w:sz="4" w:space="0" w:color="549E39"/>
              <w:bottom w:val="single" w:sz="4" w:space="0" w:color="549E39"/>
              <w:right w:val="single" w:sz="4" w:space="0" w:color="549E39"/>
            </w:tcBorders>
          </w:tcPr>
          <w:p w14:paraId="47A1103E" w14:textId="77777777" w:rsidR="0077468D" w:rsidRPr="00967C9B" w:rsidRDefault="0077468D" w:rsidP="005C6552">
            <w:pPr>
              <w:rPr>
                <w:sz w:val="18"/>
                <w:szCs w:val="18"/>
              </w:rPr>
            </w:pPr>
            <w:r w:rsidRPr="00967C9B">
              <w:rPr>
                <w:sz w:val="18"/>
                <w:szCs w:val="18"/>
              </w:rPr>
              <w:t>Development team is not conformed</w:t>
            </w:r>
          </w:p>
        </w:tc>
        <w:tc>
          <w:tcPr>
            <w:tcW w:w="1276" w:type="dxa"/>
            <w:tcBorders>
              <w:top w:val="single" w:sz="4" w:space="0" w:color="549E39"/>
              <w:left w:val="single" w:sz="4" w:space="0" w:color="549E39"/>
              <w:bottom w:val="single" w:sz="4" w:space="0" w:color="549E39"/>
              <w:right w:val="single" w:sz="4" w:space="0" w:color="549E39"/>
            </w:tcBorders>
          </w:tcPr>
          <w:p w14:paraId="08F8FD0F" w14:textId="36169933" w:rsidR="0077468D" w:rsidRPr="00967C9B" w:rsidRDefault="006C2A9D" w:rsidP="005C6552">
            <w:pPr>
              <w:rPr>
                <w:sz w:val="18"/>
                <w:szCs w:val="18"/>
              </w:rPr>
            </w:pPr>
            <w:r w:rsidRPr="00967C9B">
              <w:rPr>
                <w:sz w:val="18"/>
                <w:szCs w:val="18"/>
              </w:rPr>
              <w:t>N/A</w:t>
            </w:r>
          </w:p>
        </w:tc>
        <w:tc>
          <w:tcPr>
            <w:tcW w:w="850" w:type="dxa"/>
            <w:tcBorders>
              <w:top w:val="single" w:sz="4" w:space="0" w:color="549E39"/>
              <w:left w:val="single" w:sz="4" w:space="0" w:color="549E39"/>
              <w:right w:val="single" w:sz="4" w:space="0" w:color="549E39"/>
            </w:tcBorders>
          </w:tcPr>
          <w:p w14:paraId="5310D674" w14:textId="6E5A830A" w:rsidR="0077468D" w:rsidRPr="00967C9B" w:rsidRDefault="00E32F4B" w:rsidP="005C6552">
            <w:pPr>
              <w:rPr>
                <w:sz w:val="18"/>
                <w:szCs w:val="18"/>
              </w:rPr>
            </w:pPr>
            <w:r w:rsidRPr="00967C9B">
              <w:rPr>
                <w:sz w:val="18"/>
                <w:szCs w:val="18"/>
              </w:rPr>
              <w:t>Y</w:t>
            </w:r>
            <w:r w:rsidR="0077468D" w:rsidRPr="00967C9B">
              <w:rPr>
                <w:sz w:val="18"/>
                <w:szCs w:val="18"/>
              </w:rPr>
              <w:t xml:space="preserve">ear 1 </w:t>
            </w:r>
          </w:p>
        </w:tc>
        <w:tc>
          <w:tcPr>
            <w:tcW w:w="1418" w:type="dxa"/>
            <w:tcBorders>
              <w:left w:val="single" w:sz="4" w:space="0" w:color="549E39"/>
              <w:bottom w:val="single" w:sz="4" w:space="0" w:color="549E39"/>
              <w:right w:val="single" w:sz="4" w:space="0" w:color="549E39"/>
            </w:tcBorders>
          </w:tcPr>
          <w:p w14:paraId="48000E36" w14:textId="77777777" w:rsidR="0077468D" w:rsidRPr="00967C9B" w:rsidRDefault="0077468D" w:rsidP="005C6552">
            <w:pPr>
              <w:rPr>
                <w:b/>
                <w:sz w:val="18"/>
                <w:szCs w:val="18"/>
              </w:rPr>
            </w:pPr>
            <w:r w:rsidRPr="00967C9B">
              <w:rPr>
                <w:sz w:val="18"/>
                <w:szCs w:val="18"/>
              </w:rPr>
              <w:t>Gender and Participation Specialist</w:t>
            </w:r>
          </w:p>
        </w:tc>
      </w:tr>
      <w:tr w:rsidR="0077468D" w:rsidRPr="00967C9B" w14:paraId="01D6CC41" w14:textId="77777777" w:rsidTr="00DC46E0">
        <w:tc>
          <w:tcPr>
            <w:tcW w:w="9214" w:type="dxa"/>
            <w:gridSpan w:val="7"/>
            <w:tcBorders>
              <w:top w:val="single" w:sz="4" w:space="0" w:color="549E39"/>
              <w:left w:val="single" w:sz="4" w:space="0" w:color="549E39"/>
              <w:bottom w:val="single" w:sz="4" w:space="0" w:color="549E39"/>
              <w:right w:val="single" w:sz="4" w:space="0" w:color="549E39"/>
            </w:tcBorders>
          </w:tcPr>
          <w:p w14:paraId="4E5099C6" w14:textId="77777777" w:rsidR="0077468D" w:rsidRPr="00967C9B" w:rsidRDefault="0077468D" w:rsidP="005C6552">
            <w:pPr>
              <w:rPr>
                <w:bCs/>
                <w:sz w:val="18"/>
                <w:szCs w:val="18"/>
              </w:rPr>
            </w:pPr>
            <w:r w:rsidRPr="00967C9B">
              <w:rPr>
                <w:i/>
                <w:sz w:val="18"/>
                <w:szCs w:val="18"/>
              </w:rPr>
              <w:t xml:space="preserve">Project-level outcome 2: </w:t>
            </w:r>
            <w:r w:rsidRPr="00967C9B">
              <w:rPr>
                <w:bCs/>
                <w:sz w:val="18"/>
                <w:szCs w:val="18"/>
              </w:rPr>
              <w:t xml:space="preserve">Priority actions required for achieving IWRM of the Mira, </w:t>
            </w:r>
            <w:proofErr w:type="spellStart"/>
            <w:r w:rsidRPr="00967C9B">
              <w:rPr>
                <w:bCs/>
                <w:sz w:val="18"/>
                <w:szCs w:val="18"/>
              </w:rPr>
              <w:t>Mataje</w:t>
            </w:r>
            <w:proofErr w:type="spellEnd"/>
            <w:r w:rsidRPr="00967C9B">
              <w:rPr>
                <w:bCs/>
                <w:sz w:val="18"/>
                <w:szCs w:val="18"/>
              </w:rPr>
              <w:t xml:space="preserve"> and Carchi-</w:t>
            </w:r>
            <w:proofErr w:type="spellStart"/>
            <w:r w:rsidRPr="00967C9B">
              <w:rPr>
                <w:bCs/>
                <w:sz w:val="18"/>
                <w:szCs w:val="18"/>
              </w:rPr>
              <w:t>Guáitara</w:t>
            </w:r>
            <w:proofErr w:type="spellEnd"/>
            <w:r w:rsidRPr="00967C9B">
              <w:rPr>
                <w:bCs/>
                <w:sz w:val="18"/>
                <w:szCs w:val="18"/>
              </w:rPr>
              <w:t xml:space="preserve"> basins identified and integrated to the binational, national and sub-national development plans in both countries.</w:t>
            </w:r>
          </w:p>
          <w:p w14:paraId="10E6D06E" w14:textId="77777777" w:rsidR="00DC46E0" w:rsidRPr="00967C9B" w:rsidRDefault="00DC46E0" w:rsidP="005C6552">
            <w:pPr>
              <w:rPr>
                <w:i/>
                <w:sz w:val="18"/>
                <w:szCs w:val="18"/>
              </w:rPr>
            </w:pPr>
          </w:p>
        </w:tc>
      </w:tr>
      <w:tr w:rsidR="0077468D" w:rsidRPr="00967C9B" w14:paraId="481043D1" w14:textId="77777777" w:rsidTr="00DC46E0">
        <w:tc>
          <w:tcPr>
            <w:tcW w:w="1559" w:type="dxa"/>
            <w:tcBorders>
              <w:top w:val="single" w:sz="4" w:space="0" w:color="549E39"/>
              <w:left w:val="single" w:sz="4" w:space="0" w:color="549E39"/>
              <w:bottom w:val="single" w:sz="4" w:space="0" w:color="549E39"/>
              <w:right w:val="single" w:sz="4" w:space="0" w:color="549E39"/>
            </w:tcBorders>
          </w:tcPr>
          <w:p w14:paraId="2866873F" w14:textId="66F19204" w:rsidR="0077468D" w:rsidRPr="00967C9B" w:rsidRDefault="0077468D" w:rsidP="005C6552">
            <w:pPr>
              <w:rPr>
                <w:sz w:val="18"/>
                <w:szCs w:val="18"/>
              </w:rPr>
            </w:pPr>
            <w:r w:rsidRPr="00967C9B">
              <w:rPr>
                <w:sz w:val="18"/>
                <w:szCs w:val="18"/>
              </w:rPr>
              <w:t>Establish of SAP development team with participation of women</w:t>
            </w:r>
          </w:p>
          <w:p w14:paraId="005F471F" w14:textId="77777777" w:rsidR="0077468D" w:rsidRPr="00967C9B" w:rsidRDefault="0077468D" w:rsidP="005C6552">
            <w:pPr>
              <w:rPr>
                <w:sz w:val="18"/>
                <w:szCs w:val="18"/>
              </w:rPr>
            </w:pPr>
          </w:p>
        </w:tc>
        <w:tc>
          <w:tcPr>
            <w:tcW w:w="1701" w:type="dxa"/>
            <w:tcBorders>
              <w:top w:val="single" w:sz="4" w:space="0" w:color="549E39"/>
              <w:left w:val="single" w:sz="4" w:space="0" w:color="549E39"/>
              <w:bottom w:val="single" w:sz="4" w:space="0" w:color="549E39"/>
              <w:right w:val="single" w:sz="4" w:space="0" w:color="549E39"/>
            </w:tcBorders>
          </w:tcPr>
          <w:p w14:paraId="62382276" w14:textId="77777777" w:rsidR="0077468D" w:rsidRPr="00967C9B" w:rsidRDefault="0077468D" w:rsidP="005C6552">
            <w:pPr>
              <w:rPr>
                <w:sz w:val="18"/>
                <w:szCs w:val="18"/>
              </w:rPr>
            </w:pPr>
            <w:r w:rsidRPr="00967C9B">
              <w:rPr>
                <w:sz w:val="18"/>
                <w:szCs w:val="18"/>
              </w:rPr>
              <w:t xml:space="preserve">(Indicator 9) </w:t>
            </w:r>
            <w:r w:rsidRPr="00967C9B">
              <w:rPr>
                <w:rFonts w:cs="Calibri"/>
                <w:sz w:val="18"/>
                <w:szCs w:val="18"/>
              </w:rPr>
              <w:t>Percentage of women in the SAP Development team</w:t>
            </w:r>
          </w:p>
        </w:tc>
        <w:tc>
          <w:tcPr>
            <w:tcW w:w="851" w:type="dxa"/>
            <w:tcBorders>
              <w:top w:val="single" w:sz="4" w:space="0" w:color="549E39"/>
              <w:left w:val="single" w:sz="4" w:space="0" w:color="549E39"/>
              <w:bottom w:val="single" w:sz="4" w:space="0" w:color="549E39"/>
              <w:right w:val="single" w:sz="4" w:space="0" w:color="549E39"/>
            </w:tcBorders>
          </w:tcPr>
          <w:p w14:paraId="1E8EFD89" w14:textId="77777777" w:rsidR="0077468D" w:rsidRPr="00967C9B" w:rsidRDefault="0077468D" w:rsidP="005C6552">
            <w:pPr>
              <w:rPr>
                <w:sz w:val="18"/>
                <w:szCs w:val="18"/>
              </w:rPr>
            </w:pPr>
            <w:r w:rsidRPr="00967C9B">
              <w:rPr>
                <w:sz w:val="18"/>
                <w:szCs w:val="18"/>
              </w:rPr>
              <w:t>40% of members of the team are women.</w:t>
            </w:r>
          </w:p>
        </w:tc>
        <w:tc>
          <w:tcPr>
            <w:tcW w:w="1559" w:type="dxa"/>
            <w:tcBorders>
              <w:top w:val="single" w:sz="4" w:space="0" w:color="549E39"/>
              <w:left w:val="single" w:sz="4" w:space="0" w:color="549E39"/>
              <w:bottom w:val="single" w:sz="4" w:space="0" w:color="549E39"/>
              <w:right w:val="single" w:sz="4" w:space="0" w:color="549E39"/>
            </w:tcBorders>
          </w:tcPr>
          <w:p w14:paraId="6EA12B83" w14:textId="77777777" w:rsidR="0077468D" w:rsidRPr="00967C9B" w:rsidRDefault="0077468D" w:rsidP="005C6552">
            <w:pPr>
              <w:rPr>
                <w:sz w:val="18"/>
                <w:szCs w:val="18"/>
              </w:rPr>
            </w:pPr>
            <w:r w:rsidRPr="00967C9B">
              <w:rPr>
                <w:sz w:val="18"/>
                <w:szCs w:val="18"/>
              </w:rPr>
              <w:t>Development team is not conformed</w:t>
            </w:r>
          </w:p>
        </w:tc>
        <w:tc>
          <w:tcPr>
            <w:tcW w:w="1276" w:type="dxa"/>
            <w:tcBorders>
              <w:top w:val="single" w:sz="4" w:space="0" w:color="549E39"/>
              <w:left w:val="single" w:sz="4" w:space="0" w:color="549E39"/>
              <w:bottom w:val="single" w:sz="4" w:space="0" w:color="549E39"/>
              <w:right w:val="single" w:sz="4" w:space="0" w:color="549E39"/>
            </w:tcBorders>
          </w:tcPr>
          <w:p w14:paraId="380F2A04" w14:textId="4A42C5BB" w:rsidR="0077468D" w:rsidRPr="00967C9B" w:rsidRDefault="006C2A9D" w:rsidP="005C6552">
            <w:pPr>
              <w:rPr>
                <w:sz w:val="18"/>
                <w:szCs w:val="18"/>
              </w:rPr>
            </w:pPr>
            <w:r w:rsidRPr="00967C9B">
              <w:rPr>
                <w:sz w:val="18"/>
                <w:szCs w:val="18"/>
              </w:rPr>
              <w:t>N/A</w:t>
            </w:r>
          </w:p>
        </w:tc>
        <w:tc>
          <w:tcPr>
            <w:tcW w:w="850" w:type="dxa"/>
            <w:tcBorders>
              <w:left w:val="single" w:sz="4" w:space="0" w:color="549E39"/>
              <w:bottom w:val="single" w:sz="4" w:space="0" w:color="549E39"/>
              <w:right w:val="single" w:sz="4" w:space="0" w:color="549E39"/>
            </w:tcBorders>
          </w:tcPr>
          <w:p w14:paraId="38CBA4CF" w14:textId="08B44426" w:rsidR="0077468D" w:rsidRPr="00967C9B" w:rsidRDefault="00E32F4B" w:rsidP="005C6552">
            <w:pPr>
              <w:rPr>
                <w:sz w:val="18"/>
                <w:szCs w:val="18"/>
              </w:rPr>
            </w:pPr>
            <w:r w:rsidRPr="00967C9B">
              <w:rPr>
                <w:sz w:val="18"/>
                <w:szCs w:val="18"/>
              </w:rPr>
              <w:t>Y</w:t>
            </w:r>
            <w:r w:rsidR="0077468D" w:rsidRPr="00967C9B">
              <w:rPr>
                <w:sz w:val="18"/>
                <w:szCs w:val="18"/>
              </w:rPr>
              <w:t>ear</w:t>
            </w:r>
            <w:r w:rsidRPr="00967C9B">
              <w:rPr>
                <w:sz w:val="18"/>
                <w:szCs w:val="18"/>
              </w:rPr>
              <w:t xml:space="preserve"> </w:t>
            </w:r>
            <w:r w:rsidR="0077468D" w:rsidRPr="00967C9B">
              <w:rPr>
                <w:sz w:val="18"/>
                <w:szCs w:val="18"/>
              </w:rPr>
              <w:t xml:space="preserve">2 </w:t>
            </w:r>
          </w:p>
        </w:tc>
        <w:tc>
          <w:tcPr>
            <w:tcW w:w="1418" w:type="dxa"/>
            <w:tcBorders>
              <w:top w:val="single" w:sz="4" w:space="0" w:color="549E39"/>
              <w:left w:val="single" w:sz="4" w:space="0" w:color="549E39"/>
              <w:bottom w:val="single" w:sz="4" w:space="0" w:color="549E39"/>
              <w:right w:val="single" w:sz="4" w:space="0" w:color="549E39"/>
            </w:tcBorders>
          </w:tcPr>
          <w:p w14:paraId="777E6C5E" w14:textId="77777777" w:rsidR="0077468D" w:rsidRPr="00967C9B" w:rsidRDefault="0077468D" w:rsidP="005C6552">
            <w:pPr>
              <w:rPr>
                <w:sz w:val="18"/>
                <w:szCs w:val="18"/>
              </w:rPr>
            </w:pPr>
            <w:r w:rsidRPr="00967C9B">
              <w:rPr>
                <w:sz w:val="18"/>
                <w:szCs w:val="18"/>
              </w:rPr>
              <w:t>Gender and Participation Specialist</w:t>
            </w:r>
          </w:p>
        </w:tc>
      </w:tr>
      <w:tr w:rsidR="0077468D" w:rsidRPr="00967C9B" w14:paraId="193E489F" w14:textId="77777777" w:rsidTr="00DC46E0">
        <w:tc>
          <w:tcPr>
            <w:tcW w:w="9214" w:type="dxa"/>
            <w:gridSpan w:val="7"/>
            <w:tcBorders>
              <w:top w:val="single" w:sz="4" w:space="0" w:color="549E39"/>
              <w:left w:val="single" w:sz="4" w:space="0" w:color="549E39"/>
              <w:bottom w:val="single" w:sz="4" w:space="0" w:color="549E39"/>
              <w:right w:val="single" w:sz="4" w:space="0" w:color="549E39"/>
            </w:tcBorders>
          </w:tcPr>
          <w:p w14:paraId="6FCB5B66" w14:textId="77777777" w:rsidR="0077468D" w:rsidRPr="00967C9B" w:rsidRDefault="0077468D" w:rsidP="005C6552">
            <w:pPr>
              <w:rPr>
                <w:rFonts w:ascii="Times New Roman" w:hAnsi="Times New Roman"/>
                <w:bCs/>
                <w:sz w:val="18"/>
                <w:szCs w:val="18"/>
              </w:rPr>
            </w:pPr>
            <w:r w:rsidRPr="00967C9B">
              <w:rPr>
                <w:i/>
                <w:sz w:val="18"/>
                <w:szCs w:val="18"/>
              </w:rPr>
              <w:t xml:space="preserve">Project-level outcome 3: </w:t>
            </w:r>
            <w:r w:rsidRPr="00967C9B">
              <w:rPr>
                <w:rFonts w:ascii="Times New Roman" w:hAnsi="Times New Roman"/>
                <w:bCs/>
                <w:sz w:val="18"/>
                <w:szCs w:val="18"/>
              </w:rPr>
              <w:t>Improved individual and institutional capacities in both countries to apply IWRM in the binational basins.</w:t>
            </w:r>
          </w:p>
          <w:p w14:paraId="33067188" w14:textId="77777777" w:rsidR="00DC46E0" w:rsidRPr="00967C9B" w:rsidRDefault="00DC46E0" w:rsidP="005C6552">
            <w:pPr>
              <w:rPr>
                <w:i/>
                <w:sz w:val="18"/>
                <w:szCs w:val="18"/>
              </w:rPr>
            </w:pPr>
          </w:p>
        </w:tc>
      </w:tr>
      <w:tr w:rsidR="0077468D" w:rsidRPr="00967C9B" w14:paraId="3759AE9D" w14:textId="77777777" w:rsidTr="00DC46E0">
        <w:tc>
          <w:tcPr>
            <w:tcW w:w="1559" w:type="dxa"/>
            <w:tcBorders>
              <w:top w:val="single" w:sz="4" w:space="0" w:color="549E39"/>
              <w:left w:val="single" w:sz="4" w:space="0" w:color="549E39"/>
              <w:bottom w:val="single" w:sz="4" w:space="0" w:color="549E39"/>
              <w:right w:val="single" w:sz="4" w:space="0" w:color="549E39"/>
            </w:tcBorders>
          </w:tcPr>
          <w:p w14:paraId="6C72DACA" w14:textId="4F995A4D" w:rsidR="0077468D" w:rsidRPr="00967C9B" w:rsidRDefault="00EE50C4" w:rsidP="00194BE4">
            <w:pPr>
              <w:rPr>
                <w:sz w:val="18"/>
                <w:szCs w:val="18"/>
              </w:rPr>
            </w:pPr>
            <w:r w:rsidRPr="00967C9B">
              <w:rPr>
                <w:sz w:val="18"/>
                <w:szCs w:val="18"/>
              </w:rPr>
              <w:t xml:space="preserve">Training </w:t>
            </w:r>
            <w:r w:rsidR="00194BE4" w:rsidRPr="00967C9B">
              <w:rPr>
                <w:sz w:val="18"/>
                <w:szCs w:val="18"/>
              </w:rPr>
              <w:t>processes</w:t>
            </w:r>
            <w:r w:rsidRPr="00967C9B" w:rsidDel="00EE50C4">
              <w:rPr>
                <w:sz w:val="18"/>
                <w:szCs w:val="18"/>
              </w:rPr>
              <w:t xml:space="preserve"> </w:t>
            </w:r>
          </w:p>
        </w:tc>
        <w:tc>
          <w:tcPr>
            <w:tcW w:w="1701" w:type="dxa"/>
            <w:tcBorders>
              <w:top w:val="single" w:sz="4" w:space="0" w:color="549E39"/>
              <w:left w:val="single" w:sz="4" w:space="0" w:color="549E39"/>
              <w:bottom w:val="single" w:sz="4" w:space="0" w:color="549E39"/>
              <w:right w:val="single" w:sz="4" w:space="0" w:color="549E39"/>
            </w:tcBorders>
          </w:tcPr>
          <w:p w14:paraId="0D406DD9" w14:textId="7CF0FC2C" w:rsidR="0077468D" w:rsidRPr="00967C9B" w:rsidRDefault="0077468D" w:rsidP="005C6552">
            <w:pPr>
              <w:rPr>
                <w:sz w:val="18"/>
                <w:szCs w:val="18"/>
              </w:rPr>
            </w:pPr>
            <w:r w:rsidRPr="00967C9B">
              <w:rPr>
                <w:sz w:val="18"/>
                <w:szCs w:val="18"/>
              </w:rPr>
              <w:t>(Indicator 11</w:t>
            </w:r>
            <w:r w:rsidR="00616EA5" w:rsidRPr="00967C9B">
              <w:rPr>
                <w:sz w:val="18"/>
                <w:szCs w:val="18"/>
              </w:rPr>
              <w:t>) Number</w:t>
            </w:r>
            <w:r w:rsidRPr="00967C9B">
              <w:rPr>
                <w:rFonts w:cs="Calibri"/>
                <w:sz w:val="18"/>
                <w:szCs w:val="18"/>
              </w:rPr>
              <w:t xml:space="preserve"> of people from water and irrigation boards trained </w:t>
            </w:r>
          </w:p>
        </w:tc>
        <w:tc>
          <w:tcPr>
            <w:tcW w:w="851" w:type="dxa"/>
            <w:tcBorders>
              <w:top w:val="single" w:sz="4" w:space="0" w:color="549E39"/>
              <w:left w:val="single" w:sz="4" w:space="0" w:color="549E39"/>
              <w:bottom w:val="single" w:sz="4" w:space="0" w:color="549E39"/>
              <w:right w:val="single" w:sz="4" w:space="0" w:color="549E39"/>
            </w:tcBorders>
          </w:tcPr>
          <w:p w14:paraId="7BC2D80C" w14:textId="77777777" w:rsidR="0077468D" w:rsidRPr="00967C9B" w:rsidRDefault="0077468D" w:rsidP="005C6552">
            <w:pPr>
              <w:rPr>
                <w:sz w:val="18"/>
                <w:szCs w:val="18"/>
              </w:rPr>
            </w:pPr>
            <w:r w:rsidRPr="00967C9B">
              <w:rPr>
                <w:sz w:val="18"/>
                <w:szCs w:val="18"/>
              </w:rPr>
              <w:t>30% of the trainees are women 100 persons</w:t>
            </w:r>
          </w:p>
        </w:tc>
        <w:tc>
          <w:tcPr>
            <w:tcW w:w="1559" w:type="dxa"/>
            <w:tcBorders>
              <w:top w:val="single" w:sz="4" w:space="0" w:color="549E39"/>
              <w:left w:val="single" w:sz="4" w:space="0" w:color="549E39"/>
              <w:bottom w:val="single" w:sz="4" w:space="0" w:color="549E39"/>
              <w:right w:val="single" w:sz="4" w:space="0" w:color="549E39"/>
            </w:tcBorders>
          </w:tcPr>
          <w:p w14:paraId="7CE749BA" w14:textId="77777777" w:rsidR="0077468D" w:rsidRPr="00967C9B" w:rsidRDefault="0077468D" w:rsidP="005C6552">
            <w:pPr>
              <w:rPr>
                <w:sz w:val="18"/>
                <w:szCs w:val="18"/>
              </w:rPr>
            </w:pPr>
            <w:r w:rsidRPr="00967C9B">
              <w:rPr>
                <w:sz w:val="18"/>
                <w:szCs w:val="18"/>
              </w:rPr>
              <w:t xml:space="preserve">0 capacity building processes </w:t>
            </w:r>
          </w:p>
        </w:tc>
        <w:tc>
          <w:tcPr>
            <w:tcW w:w="1276" w:type="dxa"/>
            <w:tcBorders>
              <w:top w:val="single" w:sz="4" w:space="0" w:color="549E39"/>
              <w:left w:val="single" w:sz="4" w:space="0" w:color="549E39"/>
              <w:bottom w:val="single" w:sz="4" w:space="0" w:color="549E39"/>
              <w:right w:val="single" w:sz="4" w:space="0" w:color="549E39"/>
            </w:tcBorders>
          </w:tcPr>
          <w:p w14:paraId="5004710F" w14:textId="4EB61527" w:rsidR="0077468D" w:rsidRPr="00967C9B" w:rsidRDefault="006C2A9D" w:rsidP="005C6552">
            <w:pPr>
              <w:rPr>
                <w:sz w:val="18"/>
                <w:szCs w:val="18"/>
              </w:rPr>
            </w:pPr>
            <w:r w:rsidRPr="00967C9B">
              <w:rPr>
                <w:sz w:val="18"/>
                <w:szCs w:val="18"/>
              </w:rPr>
              <w:t>N/A</w:t>
            </w:r>
          </w:p>
        </w:tc>
        <w:tc>
          <w:tcPr>
            <w:tcW w:w="850" w:type="dxa"/>
            <w:tcBorders>
              <w:left w:val="single" w:sz="4" w:space="0" w:color="549E39"/>
              <w:bottom w:val="single" w:sz="4" w:space="0" w:color="549E39"/>
              <w:right w:val="single" w:sz="4" w:space="0" w:color="549E39"/>
            </w:tcBorders>
          </w:tcPr>
          <w:p w14:paraId="55723C77" w14:textId="5F6EEE93" w:rsidR="0077468D" w:rsidRPr="00967C9B" w:rsidRDefault="0077468D" w:rsidP="005C6552">
            <w:pPr>
              <w:rPr>
                <w:sz w:val="18"/>
                <w:szCs w:val="18"/>
              </w:rPr>
            </w:pPr>
            <w:r w:rsidRPr="00967C9B">
              <w:rPr>
                <w:sz w:val="18"/>
                <w:szCs w:val="18"/>
              </w:rPr>
              <w:t xml:space="preserve">years </w:t>
            </w:r>
            <w:r w:rsidR="00E32F4B" w:rsidRPr="00967C9B">
              <w:rPr>
                <w:sz w:val="18"/>
                <w:szCs w:val="18"/>
              </w:rPr>
              <w:t>1,</w:t>
            </w:r>
            <w:r w:rsidRPr="00967C9B">
              <w:rPr>
                <w:sz w:val="18"/>
                <w:szCs w:val="18"/>
              </w:rPr>
              <w:t>2</w:t>
            </w:r>
            <w:r w:rsidR="00E32F4B" w:rsidRPr="00967C9B">
              <w:rPr>
                <w:sz w:val="18"/>
                <w:szCs w:val="18"/>
              </w:rPr>
              <w:t xml:space="preserve">, </w:t>
            </w:r>
            <w:r w:rsidRPr="00967C9B">
              <w:rPr>
                <w:sz w:val="18"/>
                <w:szCs w:val="18"/>
              </w:rPr>
              <w:t>3</w:t>
            </w:r>
          </w:p>
        </w:tc>
        <w:tc>
          <w:tcPr>
            <w:tcW w:w="1418" w:type="dxa"/>
            <w:tcBorders>
              <w:top w:val="single" w:sz="4" w:space="0" w:color="549E39"/>
              <w:left w:val="single" w:sz="4" w:space="0" w:color="549E39"/>
              <w:bottom w:val="single" w:sz="4" w:space="0" w:color="549E39"/>
              <w:right w:val="single" w:sz="4" w:space="0" w:color="549E39"/>
            </w:tcBorders>
          </w:tcPr>
          <w:p w14:paraId="1A869047" w14:textId="77777777" w:rsidR="0077468D" w:rsidRPr="00967C9B" w:rsidRDefault="0077468D" w:rsidP="005C6552">
            <w:pPr>
              <w:rPr>
                <w:sz w:val="18"/>
                <w:szCs w:val="18"/>
              </w:rPr>
            </w:pPr>
            <w:r w:rsidRPr="00967C9B">
              <w:rPr>
                <w:sz w:val="18"/>
                <w:szCs w:val="18"/>
              </w:rPr>
              <w:t>Gender and Participation Specialist</w:t>
            </w:r>
          </w:p>
        </w:tc>
      </w:tr>
      <w:tr w:rsidR="0077468D" w:rsidRPr="00967C9B" w14:paraId="58265C55" w14:textId="77777777" w:rsidTr="00DC46E0">
        <w:tc>
          <w:tcPr>
            <w:tcW w:w="9214" w:type="dxa"/>
            <w:gridSpan w:val="7"/>
            <w:tcBorders>
              <w:top w:val="single" w:sz="4" w:space="0" w:color="549E39"/>
              <w:left w:val="single" w:sz="4" w:space="0" w:color="549E39"/>
              <w:bottom w:val="single" w:sz="4" w:space="0" w:color="549E39"/>
              <w:right w:val="single" w:sz="4" w:space="0" w:color="549E39"/>
            </w:tcBorders>
          </w:tcPr>
          <w:p w14:paraId="677E44D9" w14:textId="77777777" w:rsidR="0077468D" w:rsidRPr="00967C9B" w:rsidRDefault="0077468D" w:rsidP="005C6552">
            <w:pPr>
              <w:rPr>
                <w:rFonts w:ascii="Times New Roman" w:hAnsi="Times New Roman"/>
                <w:bCs/>
                <w:sz w:val="18"/>
                <w:szCs w:val="18"/>
              </w:rPr>
            </w:pPr>
            <w:r w:rsidRPr="00967C9B">
              <w:rPr>
                <w:i/>
                <w:sz w:val="18"/>
                <w:szCs w:val="18"/>
              </w:rPr>
              <w:t xml:space="preserve">Project-level outcome 4.2:  </w:t>
            </w:r>
            <w:r w:rsidRPr="00967C9B">
              <w:rPr>
                <w:rFonts w:ascii="Times New Roman" w:hAnsi="Times New Roman"/>
                <w:bCs/>
                <w:sz w:val="18"/>
                <w:szCs w:val="18"/>
              </w:rPr>
              <w:t>Learning generated through replicable innovative interventions supports the SAP development and decision making.</w:t>
            </w:r>
          </w:p>
          <w:p w14:paraId="068C8711" w14:textId="77777777" w:rsidR="00DC46E0" w:rsidRPr="00967C9B" w:rsidRDefault="00DC46E0" w:rsidP="005C6552">
            <w:pPr>
              <w:rPr>
                <w:i/>
                <w:sz w:val="18"/>
                <w:szCs w:val="18"/>
              </w:rPr>
            </w:pPr>
          </w:p>
        </w:tc>
      </w:tr>
      <w:tr w:rsidR="0077468D" w:rsidRPr="00967C9B" w14:paraId="45407AB9" w14:textId="77777777" w:rsidTr="00DC46E0">
        <w:tc>
          <w:tcPr>
            <w:tcW w:w="1559" w:type="dxa"/>
            <w:tcBorders>
              <w:top w:val="single" w:sz="4" w:space="0" w:color="549E39"/>
              <w:left w:val="single" w:sz="4" w:space="0" w:color="549E39"/>
              <w:bottom w:val="single" w:sz="4" w:space="0" w:color="549E39"/>
              <w:right w:val="single" w:sz="4" w:space="0" w:color="549E39"/>
            </w:tcBorders>
          </w:tcPr>
          <w:p w14:paraId="16C7A756" w14:textId="517A0794" w:rsidR="004C3C0C" w:rsidRPr="00967C9B" w:rsidRDefault="0091401F" w:rsidP="005C6552">
            <w:pPr>
              <w:rPr>
                <w:sz w:val="18"/>
                <w:szCs w:val="18"/>
              </w:rPr>
            </w:pPr>
            <w:r w:rsidRPr="00967C9B">
              <w:rPr>
                <w:sz w:val="18"/>
                <w:szCs w:val="18"/>
              </w:rPr>
              <w:t>Specific monitoring activities</w:t>
            </w:r>
          </w:p>
          <w:p w14:paraId="6F851330" w14:textId="77777777" w:rsidR="0077468D" w:rsidRPr="00967C9B" w:rsidRDefault="0077468D" w:rsidP="005C6552">
            <w:pPr>
              <w:rPr>
                <w:sz w:val="18"/>
                <w:szCs w:val="18"/>
              </w:rPr>
            </w:pPr>
          </w:p>
        </w:tc>
        <w:tc>
          <w:tcPr>
            <w:tcW w:w="1701" w:type="dxa"/>
            <w:tcBorders>
              <w:top w:val="single" w:sz="4" w:space="0" w:color="549E39"/>
              <w:left w:val="single" w:sz="4" w:space="0" w:color="549E39"/>
              <w:bottom w:val="single" w:sz="4" w:space="0" w:color="549E39"/>
              <w:right w:val="single" w:sz="4" w:space="0" w:color="549E39"/>
            </w:tcBorders>
          </w:tcPr>
          <w:p w14:paraId="5F3E18B7" w14:textId="75A93815" w:rsidR="0077468D" w:rsidRPr="00967C9B" w:rsidRDefault="0091401F" w:rsidP="005C6552">
            <w:pPr>
              <w:rPr>
                <w:rFonts w:cs="Calibri"/>
                <w:sz w:val="18"/>
                <w:szCs w:val="18"/>
              </w:rPr>
            </w:pPr>
            <w:r w:rsidRPr="00967C9B">
              <w:rPr>
                <w:rFonts w:cs="Calibri"/>
                <w:sz w:val="18"/>
                <w:szCs w:val="18"/>
              </w:rPr>
              <w:t>(</w:t>
            </w:r>
            <w:r w:rsidR="0077468D" w:rsidRPr="00967C9B">
              <w:rPr>
                <w:rFonts w:cs="Calibri"/>
                <w:sz w:val="18"/>
                <w:szCs w:val="18"/>
              </w:rPr>
              <w:t>Indicator 18</w:t>
            </w:r>
            <w:r w:rsidRPr="00967C9B">
              <w:rPr>
                <w:rFonts w:cs="Calibri"/>
                <w:sz w:val="18"/>
                <w:szCs w:val="18"/>
              </w:rPr>
              <w:t>)</w:t>
            </w:r>
          </w:p>
          <w:p w14:paraId="6C46FD1E" w14:textId="77777777" w:rsidR="0077468D" w:rsidRPr="00967C9B" w:rsidRDefault="0077468D" w:rsidP="005C6552">
            <w:pPr>
              <w:rPr>
                <w:sz w:val="18"/>
                <w:szCs w:val="18"/>
              </w:rPr>
            </w:pPr>
            <w:r w:rsidRPr="00967C9B">
              <w:rPr>
                <w:rFonts w:cs="Calibri"/>
                <w:sz w:val="18"/>
                <w:szCs w:val="18"/>
              </w:rPr>
              <w:t>Number of people (men and women, by country) who have participated in events for the dissemination of lessons and best practices (e.g., workshops, IWC)</w:t>
            </w:r>
          </w:p>
        </w:tc>
        <w:tc>
          <w:tcPr>
            <w:tcW w:w="851" w:type="dxa"/>
            <w:tcBorders>
              <w:top w:val="single" w:sz="4" w:space="0" w:color="549E39"/>
              <w:left w:val="single" w:sz="4" w:space="0" w:color="549E39"/>
              <w:bottom w:val="single" w:sz="4" w:space="0" w:color="549E39"/>
              <w:right w:val="single" w:sz="4" w:space="0" w:color="549E39"/>
            </w:tcBorders>
          </w:tcPr>
          <w:p w14:paraId="7A696387" w14:textId="77777777" w:rsidR="0077468D" w:rsidRPr="00967C9B" w:rsidRDefault="0077468D" w:rsidP="005C6552">
            <w:pPr>
              <w:rPr>
                <w:sz w:val="18"/>
                <w:szCs w:val="18"/>
              </w:rPr>
            </w:pPr>
            <w:r w:rsidRPr="00967C9B">
              <w:rPr>
                <w:sz w:val="18"/>
                <w:szCs w:val="18"/>
              </w:rPr>
              <w:t>30% of the participants are women (200 persons)</w:t>
            </w:r>
          </w:p>
        </w:tc>
        <w:tc>
          <w:tcPr>
            <w:tcW w:w="1559" w:type="dxa"/>
            <w:tcBorders>
              <w:top w:val="single" w:sz="4" w:space="0" w:color="549E39"/>
              <w:left w:val="single" w:sz="4" w:space="0" w:color="549E39"/>
              <w:bottom w:val="single" w:sz="4" w:space="0" w:color="549E39"/>
              <w:right w:val="single" w:sz="4" w:space="0" w:color="549E39"/>
            </w:tcBorders>
          </w:tcPr>
          <w:p w14:paraId="381C2728" w14:textId="77777777" w:rsidR="0077468D" w:rsidRPr="00967C9B" w:rsidRDefault="0077468D" w:rsidP="005C6552">
            <w:pPr>
              <w:rPr>
                <w:sz w:val="18"/>
                <w:szCs w:val="18"/>
              </w:rPr>
            </w:pPr>
            <w:r w:rsidRPr="00967C9B">
              <w:rPr>
                <w:sz w:val="18"/>
                <w:szCs w:val="18"/>
              </w:rPr>
              <w:t xml:space="preserve">0 capacity building processes </w:t>
            </w:r>
          </w:p>
        </w:tc>
        <w:tc>
          <w:tcPr>
            <w:tcW w:w="1276" w:type="dxa"/>
            <w:tcBorders>
              <w:top w:val="single" w:sz="4" w:space="0" w:color="549E39"/>
              <w:left w:val="single" w:sz="4" w:space="0" w:color="549E39"/>
              <w:bottom w:val="single" w:sz="4" w:space="0" w:color="549E39"/>
              <w:right w:val="single" w:sz="4" w:space="0" w:color="549E39"/>
            </w:tcBorders>
          </w:tcPr>
          <w:p w14:paraId="2B16FFC6" w14:textId="3BBAFD22" w:rsidR="0077468D" w:rsidRPr="00967C9B" w:rsidRDefault="006C2A9D" w:rsidP="00011574">
            <w:pPr>
              <w:rPr>
                <w:sz w:val="18"/>
                <w:szCs w:val="18"/>
              </w:rPr>
            </w:pPr>
            <w:r w:rsidRPr="00967C9B">
              <w:rPr>
                <w:sz w:val="18"/>
                <w:szCs w:val="18"/>
              </w:rPr>
              <w:t>N/A</w:t>
            </w:r>
          </w:p>
        </w:tc>
        <w:tc>
          <w:tcPr>
            <w:tcW w:w="850" w:type="dxa"/>
            <w:tcBorders>
              <w:left w:val="single" w:sz="4" w:space="0" w:color="549E39"/>
              <w:bottom w:val="single" w:sz="4" w:space="0" w:color="549E39"/>
              <w:right w:val="single" w:sz="4" w:space="0" w:color="549E39"/>
            </w:tcBorders>
          </w:tcPr>
          <w:p w14:paraId="2C5F2B65" w14:textId="65DFBC26" w:rsidR="0077468D" w:rsidRPr="00967C9B" w:rsidRDefault="0077468D" w:rsidP="005C6552">
            <w:pPr>
              <w:rPr>
                <w:sz w:val="18"/>
                <w:szCs w:val="18"/>
              </w:rPr>
            </w:pPr>
            <w:r w:rsidRPr="00967C9B">
              <w:rPr>
                <w:sz w:val="18"/>
                <w:szCs w:val="18"/>
              </w:rPr>
              <w:t xml:space="preserve">years </w:t>
            </w:r>
            <w:r w:rsidR="00E32F4B" w:rsidRPr="00967C9B">
              <w:rPr>
                <w:sz w:val="18"/>
                <w:szCs w:val="18"/>
              </w:rPr>
              <w:t>1,2,3,</w:t>
            </w:r>
            <w:r w:rsidR="006C2A9D" w:rsidRPr="00967C9B">
              <w:rPr>
                <w:sz w:val="18"/>
                <w:szCs w:val="18"/>
              </w:rPr>
              <w:t>4</w:t>
            </w:r>
            <w:r w:rsidRPr="00967C9B">
              <w:rPr>
                <w:sz w:val="18"/>
                <w:szCs w:val="18"/>
              </w:rPr>
              <w:t xml:space="preserve"> </w:t>
            </w:r>
          </w:p>
        </w:tc>
        <w:tc>
          <w:tcPr>
            <w:tcW w:w="1418" w:type="dxa"/>
            <w:tcBorders>
              <w:top w:val="single" w:sz="4" w:space="0" w:color="549E39"/>
              <w:left w:val="single" w:sz="4" w:space="0" w:color="549E39"/>
              <w:bottom w:val="single" w:sz="4" w:space="0" w:color="549E39"/>
              <w:right w:val="single" w:sz="4" w:space="0" w:color="549E39"/>
            </w:tcBorders>
          </w:tcPr>
          <w:p w14:paraId="5A107AB6" w14:textId="77777777" w:rsidR="0077468D" w:rsidRPr="00967C9B" w:rsidRDefault="0077468D" w:rsidP="005C6552">
            <w:pPr>
              <w:rPr>
                <w:sz w:val="18"/>
                <w:szCs w:val="18"/>
              </w:rPr>
            </w:pPr>
            <w:r w:rsidRPr="00967C9B">
              <w:rPr>
                <w:sz w:val="18"/>
                <w:szCs w:val="18"/>
              </w:rPr>
              <w:t>Gender and Participation Specialist</w:t>
            </w:r>
          </w:p>
        </w:tc>
      </w:tr>
    </w:tbl>
    <w:p w14:paraId="10C96087" w14:textId="77777777" w:rsidR="00DC46E0" w:rsidRPr="00967C9B" w:rsidRDefault="00DC46E0" w:rsidP="00DD3961">
      <w:pPr>
        <w:spacing w:after="0" w:line="240" w:lineRule="auto"/>
        <w:jc w:val="both"/>
        <w:rPr>
          <w:rFonts w:ascii="Times New Roman" w:eastAsia="Times New Roman" w:hAnsi="Times New Roman" w:cs="Times New Roman"/>
          <w:sz w:val="24"/>
          <w:szCs w:val="24"/>
          <w:lang w:eastAsia="en-CA"/>
        </w:rPr>
      </w:pPr>
    </w:p>
    <w:p w14:paraId="1E227A81" w14:textId="0BC60480" w:rsidR="00585DE9" w:rsidRPr="00967C9B" w:rsidRDefault="00585DE9"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color w:val="000000"/>
          <w:lang w:eastAsia="en-CA"/>
        </w:rPr>
        <w:t>3.</w:t>
      </w:r>
      <w:r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u w:val="single"/>
          <w:lang w:eastAsia="en-CA"/>
        </w:rPr>
        <w:t>Other aspects</w:t>
      </w:r>
      <w:r w:rsidRPr="00967C9B">
        <w:rPr>
          <w:rFonts w:ascii="Calibri" w:eastAsia="Times New Roman" w:hAnsi="Calibri" w:cs="Calibri"/>
          <w:color w:val="000000"/>
          <w:lang w:eastAsia="en-CA"/>
        </w:rPr>
        <w:t xml:space="preserve"> for the integration of gender equality</w:t>
      </w:r>
      <w:r w:rsidR="00011574" w:rsidRPr="00967C9B">
        <w:rPr>
          <w:rFonts w:ascii="Calibri" w:eastAsia="Times New Roman" w:hAnsi="Calibri" w:cs="Calibri"/>
          <w:color w:val="000000"/>
          <w:lang w:eastAsia="en-CA"/>
        </w:rPr>
        <w:t xml:space="preserve"> in the project implementation:</w:t>
      </w:r>
    </w:p>
    <w:p w14:paraId="0458C8D4" w14:textId="77777777" w:rsidR="00585DE9" w:rsidRPr="00967C9B" w:rsidRDefault="00585DE9" w:rsidP="00DD3961">
      <w:pPr>
        <w:spacing w:after="0" w:line="240" w:lineRule="auto"/>
        <w:jc w:val="both"/>
        <w:rPr>
          <w:rFonts w:ascii="Times New Roman" w:eastAsia="Times New Roman" w:hAnsi="Times New Roman" w:cs="Times New Roman"/>
          <w:sz w:val="24"/>
          <w:szCs w:val="24"/>
          <w:lang w:eastAsia="en-CA"/>
        </w:rPr>
      </w:pPr>
    </w:p>
    <w:p w14:paraId="4488D2EA" w14:textId="4F1F5999" w:rsidR="00141070" w:rsidRPr="00967C9B" w:rsidRDefault="00585DE9" w:rsidP="00DD3961">
      <w:pPr>
        <w:spacing w:after="0" w:line="240" w:lineRule="auto"/>
        <w:jc w:val="both"/>
        <w:rPr>
          <w:rFonts w:ascii="Calibri" w:eastAsia="Times New Roman" w:hAnsi="Calibri" w:cs="Calibri"/>
          <w:b/>
          <w:bCs/>
          <w:color w:val="000000"/>
          <w:lang w:eastAsia="en-CA"/>
        </w:rPr>
      </w:pPr>
      <w:r w:rsidRPr="00967C9B">
        <w:rPr>
          <w:rFonts w:ascii="Calibri" w:eastAsia="Times New Roman" w:hAnsi="Calibri" w:cs="Calibri"/>
          <w:b/>
          <w:bCs/>
          <w:color w:val="000000"/>
          <w:lang w:eastAsia="en-CA"/>
        </w:rPr>
        <w:t>T</w:t>
      </w:r>
      <w:r w:rsidR="00141070" w:rsidRPr="00967C9B">
        <w:rPr>
          <w:rFonts w:ascii="Calibri" w:eastAsia="Times New Roman" w:hAnsi="Calibri" w:cs="Calibri"/>
          <w:b/>
          <w:bCs/>
          <w:color w:val="000000"/>
          <w:lang w:eastAsia="en-CA"/>
        </w:rPr>
        <w:t>raining, sensitization</w:t>
      </w:r>
      <w:r w:rsidRPr="00967C9B">
        <w:rPr>
          <w:rFonts w:ascii="Calibri" w:eastAsia="Times New Roman" w:hAnsi="Calibri" w:cs="Calibri"/>
          <w:b/>
          <w:bCs/>
          <w:color w:val="000000"/>
          <w:lang w:eastAsia="en-CA"/>
        </w:rPr>
        <w:t xml:space="preserve"> processes</w:t>
      </w:r>
      <w:r w:rsidR="00141070" w:rsidRPr="00967C9B">
        <w:rPr>
          <w:rFonts w:ascii="Calibri" w:eastAsia="Times New Roman" w:hAnsi="Calibri" w:cs="Calibri"/>
          <w:b/>
          <w:bCs/>
          <w:color w:val="000000"/>
          <w:lang w:eastAsia="en-CA"/>
        </w:rPr>
        <w:t>, communication, feedback or consultation of the project</w:t>
      </w:r>
      <w:r w:rsidR="00D25A18" w:rsidRPr="00967C9B">
        <w:rPr>
          <w:rFonts w:ascii="Calibri" w:eastAsia="Times New Roman" w:hAnsi="Calibri" w:cs="Calibri"/>
          <w:b/>
          <w:bCs/>
          <w:color w:val="000000"/>
          <w:lang w:eastAsia="en-CA"/>
        </w:rPr>
        <w:t>:</w:t>
      </w:r>
    </w:p>
    <w:p w14:paraId="6C220B4D" w14:textId="77777777" w:rsidR="003B3D5A" w:rsidRPr="00967C9B" w:rsidRDefault="003B3D5A" w:rsidP="00DD3961">
      <w:pPr>
        <w:spacing w:after="0" w:line="240" w:lineRule="auto"/>
        <w:jc w:val="both"/>
        <w:rPr>
          <w:rFonts w:ascii="Calibri" w:eastAsia="Times New Roman" w:hAnsi="Calibri" w:cs="Calibri"/>
          <w:b/>
          <w:bCs/>
          <w:color w:val="000000"/>
          <w:lang w:eastAsia="en-CA"/>
        </w:rPr>
      </w:pPr>
    </w:p>
    <w:p w14:paraId="50103A3E" w14:textId="3AAD3151" w:rsidR="00141070" w:rsidRPr="00967C9B" w:rsidRDefault="003C6F27" w:rsidP="00DD3961">
      <w:pPr>
        <w:pStyle w:val="ListParagraph"/>
        <w:numPr>
          <w:ilvl w:val="0"/>
          <w:numId w:val="21"/>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There will </w:t>
      </w:r>
      <w:r w:rsidR="00141070" w:rsidRPr="00967C9B">
        <w:rPr>
          <w:rFonts w:ascii="Calibri" w:eastAsia="Times New Roman" w:hAnsi="Calibri" w:cs="Calibri"/>
          <w:color w:val="000000"/>
          <w:lang w:eastAsia="en-CA"/>
        </w:rPr>
        <w:t xml:space="preserve">a minimum percentage of women's participation </w:t>
      </w:r>
      <w:r w:rsidRPr="00967C9B">
        <w:rPr>
          <w:rFonts w:ascii="Calibri" w:eastAsia="Times New Roman" w:hAnsi="Calibri" w:cs="Calibri"/>
          <w:color w:val="000000"/>
          <w:lang w:eastAsia="en-CA"/>
        </w:rPr>
        <w:t xml:space="preserve">integrated </w:t>
      </w:r>
      <w:r w:rsidR="00141070" w:rsidRPr="00967C9B">
        <w:rPr>
          <w:rFonts w:ascii="Calibri" w:eastAsia="Times New Roman" w:hAnsi="Calibri" w:cs="Calibri"/>
          <w:color w:val="000000"/>
          <w:lang w:eastAsia="en-CA"/>
        </w:rPr>
        <w:t xml:space="preserve">in the training processes designed in the project. </w:t>
      </w:r>
    </w:p>
    <w:p w14:paraId="58470861" w14:textId="2149CE3D" w:rsidR="00141070" w:rsidRPr="00967C9B" w:rsidRDefault="00141070" w:rsidP="00DD3961">
      <w:pPr>
        <w:pStyle w:val="ListParagraph"/>
        <w:numPr>
          <w:ilvl w:val="0"/>
          <w:numId w:val="21"/>
        </w:num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A communication strategy will be developed with a gender equality approach, integrating appropriate content with inclusive language.</w:t>
      </w:r>
    </w:p>
    <w:p w14:paraId="2779BD86" w14:textId="77777777" w:rsidR="003B3D5A" w:rsidRPr="00967C9B" w:rsidRDefault="003B3D5A" w:rsidP="00DD3961">
      <w:pPr>
        <w:spacing w:after="0" w:line="240" w:lineRule="auto"/>
        <w:jc w:val="both"/>
        <w:rPr>
          <w:rFonts w:ascii="Calibri" w:eastAsia="Times New Roman" w:hAnsi="Calibri" w:cs="Calibri"/>
          <w:color w:val="000000"/>
          <w:lang w:eastAsia="en-CA"/>
        </w:rPr>
      </w:pPr>
    </w:p>
    <w:p w14:paraId="38195A70"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These activities will be carried out throughout the execution of the project and in the mechanisms for reporting it.</w:t>
      </w:r>
    </w:p>
    <w:p w14:paraId="3FAF556D"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825A33E" w14:textId="61135F87" w:rsidR="00585DE9" w:rsidRPr="00967C9B" w:rsidRDefault="00DE0C7E" w:rsidP="00DD3961">
      <w:pPr>
        <w:spacing w:after="0" w:line="240" w:lineRule="auto"/>
        <w:jc w:val="both"/>
        <w:rPr>
          <w:rFonts w:ascii="Calibri" w:eastAsia="Times New Roman" w:hAnsi="Calibri" w:cs="Calibri"/>
          <w:b/>
          <w:bCs/>
          <w:color w:val="000000"/>
          <w:lang w:eastAsia="en-CA"/>
        </w:rPr>
      </w:pPr>
      <w:r w:rsidRPr="00967C9B">
        <w:rPr>
          <w:rFonts w:ascii="Calibri" w:eastAsia="Times New Roman" w:hAnsi="Calibri" w:cs="Calibri"/>
          <w:b/>
          <w:bCs/>
          <w:color w:val="000000"/>
          <w:lang w:eastAsia="en-CA"/>
        </w:rPr>
        <w:t>P</w:t>
      </w:r>
      <w:r w:rsidR="00141070" w:rsidRPr="00967C9B">
        <w:rPr>
          <w:rFonts w:ascii="Calibri" w:eastAsia="Times New Roman" w:hAnsi="Calibri" w:cs="Calibri"/>
          <w:b/>
          <w:bCs/>
          <w:color w:val="000000"/>
          <w:lang w:eastAsia="en-CA"/>
        </w:rPr>
        <w:t>roject execution team</w:t>
      </w:r>
      <w:r w:rsidR="00585DE9" w:rsidRPr="00967C9B">
        <w:rPr>
          <w:rFonts w:ascii="Calibri" w:eastAsia="Times New Roman" w:hAnsi="Calibri" w:cs="Calibri"/>
          <w:b/>
          <w:bCs/>
          <w:color w:val="000000"/>
          <w:lang w:eastAsia="en-CA"/>
        </w:rPr>
        <w:t>:</w:t>
      </w:r>
    </w:p>
    <w:p w14:paraId="71186A4D" w14:textId="77777777" w:rsidR="003B3D5A" w:rsidRPr="00967C9B" w:rsidRDefault="003B3D5A" w:rsidP="00DD3961">
      <w:pPr>
        <w:spacing w:after="0" w:line="240" w:lineRule="auto"/>
        <w:jc w:val="both"/>
        <w:rPr>
          <w:rFonts w:ascii="Calibri" w:eastAsia="Times New Roman" w:hAnsi="Calibri" w:cs="Calibri"/>
          <w:b/>
          <w:bCs/>
          <w:color w:val="000000"/>
          <w:lang w:eastAsia="en-CA"/>
        </w:rPr>
      </w:pPr>
    </w:p>
    <w:p w14:paraId="78531CC3" w14:textId="3037DD1D" w:rsidR="00585DE9" w:rsidRPr="00967C9B" w:rsidRDefault="00585DE9" w:rsidP="00DD3961">
      <w:pPr>
        <w:spacing w:after="0" w:line="240" w:lineRule="auto"/>
        <w:jc w:val="both"/>
        <w:rPr>
          <w:rFonts w:ascii="Calibri" w:eastAsia="Times New Roman" w:hAnsi="Calibri" w:cs="Calibri"/>
          <w:bCs/>
          <w:color w:val="000000"/>
          <w:lang w:eastAsia="en-CA"/>
        </w:rPr>
      </w:pPr>
      <w:r w:rsidRPr="00967C9B">
        <w:rPr>
          <w:rFonts w:ascii="Calibri" w:eastAsia="Times New Roman" w:hAnsi="Calibri" w:cs="Calibri"/>
          <w:bCs/>
          <w:color w:val="000000"/>
          <w:lang w:eastAsia="en-CA"/>
        </w:rPr>
        <w:t>Th</w:t>
      </w:r>
      <w:r w:rsidR="00A72A3A" w:rsidRPr="00967C9B">
        <w:rPr>
          <w:rFonts w:ascii="Calibri" w:eastAsia="Times New Roman" w:hAnsi="Calibri" w:cs="Calibri"/>
          <w:bCs/>
          <w:color w:val="000000"/>
          <w:lang w:eastAsia="en-CA"/>
        </w:rPr>
        <w:t>e project team will count with three</w:t>
      </w:r>
      <w:r w:rsidRPr="00967C9B">
        <w:rPr>
          <w:rFonts w:ascii="Calibri" w:eastAsia="Times New Roman" w:hAnsi="Calibri" w:cs="Calibri"/>
          <w:bCs/>
          <w:color w:val="000000"/>
          <w:lang w:eastAsia="en-CA"/>
        </w:rPr>
        <w:t xml:space="preserve"> persons for carrying out activities related to gender and participation (</w:t>
      </w:r>
      <w:r w:rsidR="00AB072F" w:rsidRPr="00967C9B">
        <w:rPr>
          <w:rFonts w:ascii="Calibri" w:eastAsia="Times New Roman" w:hAnsi="Calibri" w:cs="Calibri"/>
          <w:bCs/>
          <w:color w:val="000000"/>
          <w:lang w:eastAsia="en-CA"/>
        </w:rPr>
        <w:t xml:space="preserve">to complete details </w:t>
      </w:r>
      <w:r w:rsidRPr="00967C9B">
        <w:rPr>
          <w:rFonts w:ascii="Calibri" w:eastAsia="Times New Roman" w:hAnsi="Calibri" w:cs="Calibri"/>
          <w:bCs/>
          <w:color w:val="000000"/>
          <w:lang w:eastAsia="en-CA"/>
        </w:rPr>
        <w:t xml:space="preserve">please refer to </w:t>
      </w:r>
      <w:r w:rsidR="00574F7D" w:rsidRPr="00967C9B">
        <w:rPr>
          <w:rFonts w:ascii="Calibri" w:eastAsia="Times New Roman" w:hAnsi="Calibri" w:cs="Calibri"/>
          <w:bCs/>
          <w:color w:val="000000"/>
          <w:lang w:eastAsia="en-CA"/>
        </w:rPr>
        <w:t>PRODOC, A</w:t>
      </w:r>
      <w:r w:rsidRPr="00967C9B">
        <w:rPr>
          <w:rFonts w:ascii="Calibri" w:eastAsia="Times New Roman" w:hAnsi="Calibri" w:cs="Calibri"/>
          <w:bCs/>
          <w:color w:val="000000"/>
          <w:lang w:eastAsia="en-CA"/>
        </w:rPr>
        <w:t>nnex no.</w:t>
      </w:r>
      <w:r w:rsidR="00574F7D" w:rsidRPr="00967C9B">
        <w:rPr>
          <w:rFonts w:ascii="Calibri" w:eastAsia="Times New Roman" w:hAnsi="Calibri" w:cs="Calibri"/>
          <w:bCs/>
          <w:color w:val="000000"/>
          <w:lang w:eastAsia="en-CA"/>
        </w:rPr>
        <w:t xml:space="preserve"> 4: </w:t>
      </w:r>
      <w:r w:rsidRPr="00967C9B">
        <w:rPr>
          <w:rFonts w:ascii="Calibri" w:eastAsia="Times New Roman" w:hAnsi="Calibri" w:cs="Calibri"/>
          <w:bCs/>
          <w:color w:val="000000"/>
          <w:lang w:eastAsia="en-CA"/>
        </w:rPr>
        <w:t>Terms of Reference</w:t>
      </w:r>
      <w:r w:rsidR="00574F7D" w:rsidRPr="00967C9B">
        <w:rPr>
          <w:rFonts w:ascii="Calibri" w:eastAsia="Times New Roman" w:hAnsi="Calibri" w:cs="Calibri"/>
          <w:bCs/>
          <w:color w:val="000000"/>
          <w:lang w:eastAsia="en-CA"/>
        </w:rPr>
        <w:t xml:space="preserve"> of Key Personnel</w:t>
      </w:r>
      <w:r w:rsidR="00A72A3A" w:rsidRPr="00967C9B">
        <w:rPr>
          <w:rFonts w:ascii="Calibri" w:eastAsia="Times New Roman" w:hAnsi="Calibri" w:cs="Calibri"/>
          <w:bCs/>
          <w:color w:val="000000"/>
          <w:lang w:eastAsia="en-CA"/>
        </w:rPr>
        <w:t>):</w:t>
      </w:r>
    </w:p>
    <w:p w14:paraId="129F074B" w14:textId="77777777" w:rsidR="00585DE9" w:rsidRPr="00967C9B" w:rsidRDefault="00585DE9" w:rsidP="00DD3961">
      <w:pPr>
        <w:spacing w:after="0" w:line="240" w:lineRule="auto"/>
        <w:jc w:val="both"/>
        <w:rPr>
          <w:rFonts w:ascii="Times New Roman" w:eastAsia="Times New Roman" w:hAnsi="Times New Roman" w:cs="Times New Roman"/>
          <w:lang w:eastAsia="en-CA"/>
        </w:rPr>
      </w:pPr>
    </w:p>
    <w:p w14:paraId="5B28B32D" w14:textId="416A057A" w:rsidR="00585DE9" w:rsidRPr="00967C9B" w:rsidRDefault="00141070" w:rsidP="00DD3961">
      <w:pPr>
        <w:pStyle w:val="ListParagraph"/>
        <w:numPr>
          <w:ilvl w:val="0"/>
          <w:numId w:val="22"/>
        </w:numPr>
        <w:spacing w:after="0" w:line="240" w:lineRule="auto"/>
        <w:ind w:left="360"/>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In the conformation of the project team, a person specialized in the Gender, Participation and Intercultural </w:t>
      </w:r>
      <w:r w:rsidR="0089606F" w:rsidRPr="00967C9B">
        <w:rPr>
          <w:rFonts w:ascii="Calibri" w:eastAsia="Times New Roman" w:hAnsi="Calibri" w:cs="Calibri"/>
          <w:color w:val="000000"/>
          <w:lang w:eastAsia="en-CA"/>
        </w:rPr>
        <w:t xml:space="preserve">specialist </w:t>
      </w:r>
      <w:r w:rsidRPr="00967C9B">
        <w:rPr>
          <w:rFonts w:ascii="Calibri" w:eastAsia="Times New Roman" w:hAnsi="Calibri" w:cs="Calibri"/>
          <w:color w:val="000000"/>
          <w:lang w:eastAsia="en-CA"/>
        </w:rPr>
        <w:t>(</w:t>
      </w:r>
      <w:r w:rsidR="00640742" w:rsidRPr="00967C9B">
        <w:rPr>
          <w:rFonts w:ascii="Calibri" w:eastAsia="Times New Roman" w:hAnsi="Calibri" w:cs="Calibri"/>
          <w:color w:val="000000"/>
          <w:lang w:eastAsia="en-CA"/>
        </w:rPr>
        <w:t>E</w:t>
      </w:r>
      <w:r w:rsidR="003B3D5A" w:rsidRPr="00967C9B">
        <w:rPr>
          <w:rFonts w:ascii="Calibri" w:eastAsia="Times New Roman" w:hAnsi="Calibri" w:cs="Calibri"/>
          <w:color w:val="000000"/>
          <w:lang w:eastAsia="en-CA"/>
        </w:rPr>
        <w:t xml:space="preserve">GP) </w:t>
      </w:r>
      <w:r w:rsidRPr="00967C9B">
        <w:rPr>
          <w:rFonts w:ascii="Calibri" w:eastAsia="Times New Roman" w:hAnsi="Calibri" w:cs="Calibri"/>
          <w:color w:val="000000"/>
          <w:lang w:eastAsia="en-CA"/>
        </w:rPr>
        <w:t xml:space="preserve">will be integrated </w:t>
      </w:r>
      <w:proofErr w:type="gramStart"/>
      <w:r w:rsidRPr="00967C9B">
        <w:rPr>
          <w:rFonts w:ascii="Calibri" w:eastAsia="Times New Roman" w:hAnsi="Calibri" w:cs="Calibri"/>
          <w:color w:val="000000"/>
          <w:lang w:eastAsia="en-CA"/>
        </w:rPr>
        <w:t>in order to</w:t>
      </w:r>
      <w:proofErr w:type="gramEnd"/>
      <w:r w:rsidRPr="00967C9B">
        <w:rPr>
          <w:rFonts w:ascii="Calibri" w:eastAsia="Times New Roman" w:hAnsi="Calibri" w:cs="Calibri"/>
          <w:color w:val="000000"/>
          <w:lang w:eastAsia="en-CA"/>
        </w:rPr>
        <w:t xml:space="preserve"> guarantee the inclusion of the gender equality approach in all the execution of the project. </w:t>
      </w:r>
      <w:r w:rsidR="00CA7139" w:rsidRPr="00967C9B">
        <w:rPr>
          <w:rFonts w:ascii="Calibri" w:eastAsia="Times New Roman" w:hAnsi="Calibri" w:cs="Calibri"/>
          <w:color w:val="000000"/>
          <w:lang w:eastAsia="en-CA"/>
        </w:rPr>
        <w:t xml:space="preserve">This person </w:t>
      </w:r>
      <w:r w:rsidRPr="00967C9B">
        <w:rPr>
          <w:rFonts w:ascii="Calibri" w:eastAsia="Times New Roman" w:hAnsi="Calibri" w:cs="Calibri"/>
          <w:color w:val="000000"/>
          <w:lang w:eastAsia="en-CA"/>
        </w:rPr>
        <w:t xml:space="preserve">will be responsible for conducting an initial awareness-raising training to the project team for proper execution, in addition to ensuring the implementation of this plan. </w:t>
      </w:r>
      <w:r w:rsidR="00CA7139" w:rsidRPr="00967C9B">
        <w:rPr>
          <w:rFonts w:ascii="Calibri" w:eastAsia="Times New Roman" w:hAnsi="Calibri" w:cs="Calibri"/>
          <w:color w:val="000000"/>
          <w:lang w:eastAsia="en-CA"/>
        </w:rPr>
        <w:t xml:space="preserve">In addition, they </w:t>
      </w:r>
      <w:r w:rsidRPr="00967C9B">
        <w:rPr>
          <w:rFonts w:ascii="Calibri" w:eastAsia="Times New Roman" w:hAnsi="Calibri" w:cs="Calibri"/>
          <w:color w:val="000000"/>
          <w:lang w:eastAsia="en-CA"/>
        </w:rPr>
        <w:t xml:space="preserve">will be the main person in charge of the </w:t>
      </w:r>
      <w:proofErr w:type="gramStart"/>
      <w:r w:rsidRPr="00967C9B">
        <w:rPr>
          <w:rFonts w:ascii="Calibri" w:eastAsia="Times New Roman" w:hAnsi="Calibri" w:cs="Calibri"/>
          <w:color w:val="000000"/>
          <w:lang w:eastAsia="en-CA"/>
        </w:rPr>
        <w:t>claims</w:t>
      </w:r>
      <w:proofErr w:type="gramEnd"/>
      <w:r w:rsidRPr="00967C9B">
        <w:rPr>
          <w:rFonts w:ascii="Calibri" w:eastAsia="Times New Roman" w:hAnsi="Calibri" w:cs="Calibri"/>
          <w:color w:val="000000"/>
          <w:lang w:eastAsia="en-CA"/>
        </w:rPr>
        <w:t xml:space="preserve"> mechanism.</w:t>
      </w:r>
    </w:p>
    <w:p w14:paraId="7009368D" w14:textId="77777777" w:rsidR="0089606F" w:rsidRPr="00967C9B" w:rsidRDefault="0089606F" w:rsidP="00DD3961">
      <w:pPr>
        <w:spacing w:after="0" w:line="240" w:lineRule="auto"/>
        <w:jc w:val="both"/>
        <w:rPr>
          <w:rFonts w:ascii="Times New Roman" w:eastAsia="Times New Roman" w:hAnsi="Times New Roman" w:cs="Times New Roman"/>
          <w:sz w:val="24"/>
          <w:szCs w:val="24"/>
          <w:lang w:eastAsia="en-CA"/>
        </w:rPr>
      </w:pPr>
    </w:p>
    <w:p w14:paraId="1D67D52C" w14:textId="1B60F9FB" w:rsidR="0084328C" w:rsidRPr="00967C9B" w:rsidRDefault="0084328C" w:rsidP="00DD3961">
      <w:pPr>
        <w:pStyle w:val="ListParagraph"/>
        <w:numPr>
          <w:ilvl w:val="0"/>
          <w:numId w:val="22"/>
        </w:numPr>
        <w:spacing w:after="0" w:line="240" w:lineRule="auto"/>
        <w:ind w:left="360"/>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A support consultant - SAP participation and gender equality assistant – is integrated to the team. This specialist collects information and organizes it on issues related to gender equality, participation and decision-making in the basins of studies for the construction of TDA/SAP</w:t>
      </w:r>
      <w:r w:rsidR="003B3D5A"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This person will coordinate with </w:t>
      </w:r>
      <w:r w:rsidR="002A5DBF" w:rsidRPr="00967C9B">
        <w:rPr>
          <w:rFonts w:ascii="Calibri" w:eastAsia="Times New Roman" w:hAnsi="Calibri" w:cs="Calibri"/>
          <w:color w:val="000000"/>
          <w:lang w:eastAsia="en-CA"/>
        </w:rPr>
        <w:t xml:space="preserve">the </w:t>
      </w:r>
      <w:r w:rsidR="00640742" w:rsidRPr="00967C9B">
        <w:rPr>
          <w:rFonts w:ascii="Calibri" w:eastAsia="Times New Roman" w:hAnsi="Calibri" w:cs="Calibri"/>
          <w:color w:val="000000"/>
          <w:lang w:eastAsia="en-CA"/>
        </w:rPr>
        <w:t>E</w:t>
      </w:r>
      <w:r w:rsidRPr="00967C9B">
        <w:rPr>
          <w:rFonts w:ascii="Calibri" w:eastAsia="Times New Roman" w:hAnsi="Calibri" w:cs="Calibri"/>
          <w:color w:val="000000"/>
          <w:lang w:eastAsia="en-CA"/>
        </w:rPr>
        <w:t xml:space="preserve">GP. </w:t>
      </w:r>
    </w:p>
    <w:p w14:paraId="636F7C32" w14:textId="77777777" w:rsidR="009A56C6" w:rsidRPr="00967C9B" w:rsidRDefault="009A56C6" w:rsidP="00DD3961">
      <w:pPr>
        <w:spacing w:after="0" w:line="240" w:lineRule="auto"/>
        <w:jc w:val="both"/>
        <w:rPr>
          <w:rFonts w:ascii="Calibri" w:eastAsia="Times New Roman" w:hAnsi="Calibri" w:cs="Calibri"/>
          <w:color w:val="000000"/>
          <w:lang w:eastAsia="en-CA"/>
        </w:rPr>
      </w:pPr>
    </w:p>
    <w:p w14:paraId="5A44EFA2" w14:textId="0F6585A8" w:rsidR="0084328C" w:rsidRPr="00967C9B" w:rsidRDefault="009A56C6" w:rsidP="00DD3961">
      <w:pPr>
        <w:pStyle w:val="ListParagraph"/>
        <w:numPr>
          <w:ilvl w:val="0"/>
          <w:numId w:val="22"/>
        </w:numPr>
        <w:spacing w:after="0" w:line="240" w:lineRule="auto"/>
        <w:ind w:left="360"/>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 xml:space="preserve">Five Community workers will be integrated to the team. Three in Colombia and 2 in Ecuador. </w:t>
      </w:r>
      <w:r w:rsidRPr="00967C9B">
        <w:rPr>
          <w:lang w:eastAsia="es-MX"/>
        </w:rPr>
        <w:t xml:space="preserve">These persons will facilitate communication and consultation with local ethnic groups in support of SAP preparation. </w:t>
      </w:r>
      <w:r w:rsidR="002A5DBF" w:rsidRPr="00967C9B">
        <w:rPr>
          <w:lang w:eastAsia="es-MX"/>
        </w:rPr>
        <w:t>He/she will be u</w:t>
      </w:r>
      <w:r w:rsidRPr="00967C9B">
        <w:rPr>
          <w:lang w:eastAsia="es-MX"/>
        </w:rPr>
        <w:t xml:space="preserve">nder the supervision of the </w:t>
      </w:r>
      <w:r w:rsidR="00640742" w:rsidRPr="00967C9B">
        <w:rPr>
          <w:lang w:eastAsia="es-MX"/>
        </w:rPr>
        <w:t>EGP</w:t>
      </w:r>
      <w:r w:rsidRPr="00967C9B">
        <w:rPr>
          <w:lang w:eastAsia="es-MX"/>
        </w:rPr>
        <w:t xml:space="preserve"> and in coordination with the SAP participation and gender equality assistant.</w:t>
      </w:r>
    </w:p>
    <w:p w14:paraId="344D7CDD"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BBBFB6F" w14:textId="4FF074C3" w:rsidR="00141070" w:rsidRPr="00967C9B" w:rsidRDefault="005C6552" w:rsidP="00DD3961">
      <w:pPr>
        <w:spacing w:after="0" w:line="240" w:lineRule="auto"/>
        <w:jc w:val="both"/>
        <w:rPr>
          <w:rFonts w:ascii="Calibri" w:eastAsia="Times New Roman" w:hAnsi="Calibri" w:cs="Calibri"/>
          <w:b/>
          <w:bCs/>
          <w:color w:val="000000"/>
          <w:lang w:eastAsia="en-CA"/>
        </w:rPr>
      </w:pPr>
      <w:r w:rsidRPr="00967C9B">
        <w:rPr>
          <w:rFonts w:ascii="Calibri" w:eastAsia="Times New Roman" w:hAnsi="Calibri" w:cs="Calibri"/>
          <w:b/>
          <w:bCs/>
          <w:color w:val="000000"/>
          <w:lang w:eastAsia="en-CA"/>
        </w:rPr>
        <w:t>M</w:t>
      </w:r>
      <w:r w:rsidR="00141070" w:rsidRPr="00967C9B">
        <w:rPr>
          <w:rFonts w:ascii="Calibri" w:eastAsia="Times New Roman" w:hAnsi="Calibri" w:cs="Calibri"/>
          <w:b/>
          <w:bCs/>
          <w:color w:val="000000"/>
          <w:lang w:eastAsia="en-CA"/>
        </w:rPr>
        <w:t>onitoring strategy</w:t>
      </w:r>
    </w:p>
    <w:p w14:paraId="0A3AACF9" w14:textId="77777777" w:rsidR="00323084" w:rsidRPr="00967C9B" w:rsidRDefault="00323084" w:rsidP="00DD3961">
      <w:pPr>
        <w:spacing w:after="0" w:line="240" w:lineRule="auto"/>
        <w:jc w:val="both"/>
        <w:rPr>
          <w:rFonts w:ascii="Calibri" w:eastAsia="Times New Roman" w:hAnsi="Calibri" w:cs="Calibri"/>
          <w:color w:val="000000"/>
          <w:lang w:eastAsia="en-CA"/>
        </w:rPr>
      </w:pPr>
    </w:p>
    <w:p w14:paraId="27776EAF" w14:textId="124CC374" w:rsidR="00141070" w:rsidRPr="00967C9B" w:rsidRDefault="00D25A18" w:rsidP="00DD3961">
      <w:pPr>
        <w:pStyle w:val="ListParagraph"/>
        <w:numPr>
          <w:ilvl w:val="0"/>
          <w:numId w:val="23"/>
        </w:numPr>
        <w:spacing w:after="0" w:line="240" w:lineRule="auto"/>
        <w:ind w:left="360"/>
        <w:jc w:val="both"/>
        <w:rPr>
          <w:rFonts w:eastAsia="Times New Roman" w:cs="Calibri"/>
          <w:color w:val="000000"/>
          <w:lang w:eastAsia="en-CA"/>
        </w:rPr>
      </w:pPr>
      <w:r w:rsidRPr="00967C9B">
        <w:rPr>
          <w:rFonts w:ascii="Calibri" w:eastAsia="Times New Roman" w:hAnsi="Calibri" w:cs="Calibri"/>
          <w:color w:val="000000"/>
          <w:lang w:eastAsia="en-CA"/>
        </w:rPr>
        <w:t>W</w:t>
      </w:r>
      <w:r w:rsidR="00141070" w:rsidRPr="00967C9B">
        <w:rPr>
          <w:rFonts w:ascii="Calibri" w:eastAsia="Times New Roman" w:hAnsi="Calibri" w:cs="Calibri"/>
          <w:color w:val="000000"/>
          <w:lang w:eastAsia="en-CA"/>
        </w:rPr>
        <w:t xml:space="preserve">ill be carried out </w:t>
      </w:r>
      <w:r w:rsidRPr="00967C9B">
        <w:rPr>
          <w:rFonts w:ascii="Calibri" w:eastAsia="Times New Roman" w:hAnsi="Calibri" w:cs="Calibri"/>
          <w:color w:val="000000"/>
          <w:lang w:eastAsia="en-CA"/>
        </w:rPr>
        <w:t>reports</w:t>
      </w:r>
      <w:r w:rsidR="00141070" w:rsidRPr="00967C9B">
        <w:rPr>
          <w:rFonts w:ascii="Calibri" w:eastAsia="Times New Roman" w:hAnsi="Calibri" w:cs="Calibri"/>
          <w:color w:val="000000"/>
          <w:lang w:eastAsia="en-CA"/>
        </w:rPr>
        <w:t>, generating a description of the participation of men and women. For this purpose, a specific report format on participation will be developed.</w:t>
      </w:r>
      <w:r w:rsidRPr="00967C9B">
        <w:rPr>
          <w:rFonts w:ascii="Times New Roman" w:eastAsia="Times New Roman" w:hAnsi="Times New Roman" w:cs="Times New Roman"/>
          <w:sz w:val="24"/>
          <w:szCs w:val="24"/>
          <w:lang w:eastAsia="en-CA"/>
        </w:rPr>
        <w:t xml:space="preserve"> </w:t>
      </w:r>
      <w:r w:rsidR="00141070" w:rsidRPr="00967C9B">
        <w:rPr>
          <w:rFonts w:ascii="Calibri" w:eastAsia="Times New Roman" w:hAnsi="Calibri" w:cs="Calibri"/>
          <w:color w:val="000000"/>
          <w:lang w:eastAsia="en-CA"/>
        </w:rPr>
        <w:t>These activities will be carried out during the implementation of the project</w:t>
      </w:r>
      <w:r w:rsidR="005F256E" w:rsidRPr="00967C9B">
        <w:rPr>
          <w:rFonts w:ascii="Calibri" w:eastAsia="Times New Roman" w:hAnsi="Calibri" w:cs="Calibri"/>
          <w:color w:val="000000"/>
          <w:lang w:eastAsia="en-CA"/>
        </w:rPr>
        <w:t xml:space="preserve">.  </w:t>
      </w:r>
      <w:r w:rsidR="00323084" w:rsidRPr="00967C9B">
        <w:rPr>
          <w:rFonts w:eastAsia="Times New Roman" w:cs="Calibri"/>
          <w:color w:val="000000"/>
          <w:lang w:eastAsia="en-CA"/>
        </w:rPr>
        <w:t xml:space="preserve">The registration will be in each event, </w:t>
      </w:r>
      <w:r w:rsidR="00323084" w:rsidRPr="00967C9B">
        <w:rPr>
          <w:rFonts w:cs="Calibri"/>
        </w:rPr>
        <w:t>including their name, age, sex, nationality, identity card number, telephone number, e-mail, organization (if they belong to one), and signature. Data will be compiled and systematized into an electronic spreadsheet file. Number of events each person attend</w:t>
      </w:r>
      <w:r w:rsidR="005F256E" w:rsidRPr="00967C9B">
        <w:rPr>
          <w:rFonts w:cs="Calibri"/>
        </w:rPr>
        <w:t>s</w:t>
      </w:r>
      <w:r w:rsidR="00323084" w:rsidRPr="00967C9B">
        <w:rPr>
          <w:rFonts w:cs="Calibri"/>
        </w:rPr>
        <w:t xml:space="preserve"> will be also registered (in table format).</w:t>
      </w:r>
    </w:p>
    <w:p w14:paraId="4B4EAD1D" w14:textId="77777777" w:rsidR="00011574" w:rsidRPr="00967C9B" w:rsidRDefault="00011574" w:rsidP="00DD3961">
      <w:pPr>
        <w:spacing w:after="0" w:line="240" w:lineRule="auto"/>
        <w:jc w:val="both"/>
        <w:rPr>
          <w:rFonts w:ascii="Times New Roman" w:eastAsia="Times New Roman" w:hAnsi="Times New Roman" w:cs="Times New Roman"/>
          <w:sz w:val="24"/>
          <w:szCs w:val="24"/>
          <w:lang w:eastAsia="en-CA"/>
        </w:rPr>
      </w:pPr>
    </w:p>
    <w:p w14:paraId="3E462370" w14:textId="5CB8ED54" w:rsidR="009204F3" w:rsidRPr="00DD3961" w:rsidRDefault="00141070" w:rsidP="0069407E">
      <w:pPr>
        <w:pStyle w:val="ListParagraph"/>
        <w:numPr>
          <w:ilvl w:val="0"/>
          <w:numId w:val="23"/>
        </w:numPr>
        <w:spacing w:after="0" w:line="240" w:lineRule="auto"/>
        <w:ind w:left="360"/>
        <w:jc w:val="both"/>
        <w:rPr>
          <w:rFonts w:ascii="Times New Roman" w:eastAsia="Times New Roman" w:hAnsi="Times New Roman" w:cs="Times New Roman"/>
          <w:sz w:val="24"/>
          <w:szCs w:val="24"/>
          <w:lang w:eastAsia="en-CA"/>
        </w:rPr>
      </w:pPr>
      <w:r w:rsidRPr="00DD3961">
        <w:rPr>
          <w:rFonts w:ascii="Calibri" w:eastAsia="Times New Roman" w:hAnsi="Calibri" w:cs="Calibri"/>
          <w:color w:val="000000"/>
          <w:lang w:eastAsia="en-CA"/>
        </w:rPr>
        <w:t>Regular meetings of women's associations will be held as a follow-up strategy on gender equality to support organizational processes that are taking place in the basins.</w:t>
      </w:r>
      <w:r w:rsidR="00D25A18" w:rsidRPr="00DD3961">
        <w:rPr>
          <w:rFonts w:ascii="Times New Roman" w:eastAsia="Times New Roman" w:hAnsi="Times New Roman" w:cs="Times New Roman"/>
          <w:sz w:val="24"/>
          <w:szCs w:val="24"/>
          <w:lang w:eastAsia="en-CA"/>
        </w:rPr>
        <w:t xml:space="preserve"> </w:t>
      </w:r>
      <w:r w:rsidRPr="00DD3961">
        <w:rPr>
          <w:rFonts w:ascii="Calibri" w:eastAsia="Times New Roman" w:hAnsi="Calibri" w:cs="Calibri"/>
          <w:color w:val="000000"/>
          <w:lang w:eastAsia="en-CA"/>
        </w:rPr>
        <w:t>These meetings will be held once a year</w:t>
      </w:r>
      <w:r w:rsidR="00D25A18" w:rsidRPr="00DD3961">
        <w:rPr>
          <w:rFonts w:ascii="Calibri" w:eastAsia="Times New Roman" w:hAnsi="Calibri" w:cs="Calibri"/>
          <w:color w:val="000000"/>
          <w:lang w:eastAsia="en-CA"/>
        </w:rPr>
        <w:t>.</w:t>
      </w:r>
    </w:p>
    <w:p w14:paraId="528DC8B1" w14:textId="266EBB9D" w:rsidR="00141070" w:rsidRPr="00967C9B" w:rsidRDefault="002F77DB" w:rsidP="00DD3961">
      <w:pPr>
        <w:pStyle w:val="Heading1"/>
        <w:jc w:val="both"/>
        <w:rPr>
          <w:rFonts w:asciiTheme="minorHAnsi" w:hAnsiTheme="minorHAnsi"/>
          <w:sz w:val="24"/>
          <w:szCs w:val="24"/>
        </w:rPr>
      </w:pPr>
      <w:bookmarkStart w:id="65" w:name="_Toc8644447"/>
      <w:bookmarkStart w:id="66" w:name="_Toc8644549"/>
      <w:r w:rsidRPr="00967C9B">
        <w:rPr>
          <w:rFonts w:asciiTheme="minorHAnsi" w:hAnsiTheme="minorHAnsi"/>
          <w:sz w:val="24"/>
          <w:szCs w:val="24"/>
        </w:rPr>
        <w:t>6</w:t>
      </w:r>
      <w:r w:rsidR="00141070" w:rsidRPr="00967C9B">
        <w:rPr>
          <w:rFonts w:asciiTheme="minorHAnsi" w:hAnsiTheme="minorHAnsi"/>
          <w:sz w:val="24"/>
          <w:szCs w:val="24"/>
        </w:rPr>
        <w:t>)</w:t>
      </w:r>
      <w:r w:rsidR="00D25A18" w:rsidRPr="00967C9B">
        <w:rPr>
          <w:rFonts w:asciiTheme="minorHAnsi" w:hAnsiTheme="minorHAnsi"/>
          <w:sz w:val="24"/>
          <w:szCs w:val="24"/>
        </w:rPr>
        <w:t xml:space="preserve"> </w:t>
      </w:r>
      <w:r w:rsidR="00004BEA" w:rsidRPr="00967C9B">
        <w:rPr>
          <w:rFonts w:asciiTheme="minorHAnsi" w:hAnsiTheme="minorHAnsi"/>
          <w:sz w:val="24"/>
          <w:szCs w:val="24"/>
        </w:rPr>
        <w:t>M</w:t>
      </w:r>
      <w:r w:rsidR="00141070" w:rsidRPr="00967C9B">
        <w:rPr>
          <w:rFonts w:asciiTheme="minorHAnsi" w:hAnsiTheme="minorHAnsi"/>
          <w:sz w:val="24"/>
          <w:szCs w:val="24"/>
        </w:rPr>
        <w:t>onitoring and evaluation</w:t>
      </w:r>
      <w:bookmarkEnd w:id="65"/>
      <w:bookmarkEnd w:id="66"/>
      <w:r w:rsidR="00141070" w:rsidRPr="00967C9B">
        <w:rPr>
          <w:rFonts w:asciiTheme="minorHAnsi" w:hAnsiTheme="minorHAnsi"/>
          <w:sz w:val="24"/>
          <w:szCs w:val="24"/>
        </w:rPr>
        <w:t xml:space="preserve"> </w:t>
      </w:r>
    </w:p>
    <w:p w14:paraId="73976BEF" w14:textId="23D98D3A" w:rsidR="00B847BA"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Within the design of each activity, a reporting mechanism or means of verification has been integrated such as: gender equality and governance diagnosis documents, gender equality inclusion specialist contracts, reports and participation lists disaggregated by sex, report formats on participation quality, among others (See detail</w:t>
      </w:r>
      <w:r w:rsidR="003B3D5A" w:rsidRPr="00967C9B">
        <w:rPr>
          <w:rFonts w:ascii="Calibri" w:eastAsia="Times New Roman" w:hAnsi="Calibri" w:cs="Calibri"/>
          <w:color w:val="000000"/>
          <w:lang w:eastAsia="en-CA"/>
        </w:rPr>
        <w:t>ed</w:t>
      </w:r>
      <w:r w:rsidRPr="00967C9B">
        <w:rPr>
          <w:rFonts w:ascii="Calibri" w:eastAsia="Times New Roman" w:hAnsi="Calibri" w:cs="Calibri"/>
          <w:color w:val="000000"/>
          <w:lang w:eastAsia="en-CA"/>
        </w:rPr>
        <w:t xml:space="preserve"> </w:t>
      </w:r>
      <w:r w:rsidR="003B3D5A" w:rsidRPr="00967C9B">
        <w:rPr>
          <w:rFonts w:ascii="Calibri" w:eastAsia="Times New Roman" w:hAnsi="Calibri" w:cs="Calibri"/>
          <w:color w:val="000000"/>
          <w:lang w:eastAsia="en-CA"/>
        </w:rPr>
        <w:t xml:space="preserve">activity </w:t>
      </w:r>
      <w:r w:rsidRPr="00967C9B">
        <w:rPr>
          <w:rFonts w:ascii="Calibri" w:eastAsia="Times New Roman" w:hAnsi="Calibri" w:cs="Calibri"/>
          <w:color w:val="000000"/>
          <w:lang w:eastAsia="en-CA"/>
        </w:rPr>
        <w:t xml:space="preserve">description </w:t>
      </w:r>
      <w:r w:rsidR="003B3D5A" w:rsidRPr="00967C9B">
        <w:rPr>
          <w:rFonts w:ascii="Calibri" w:eastAsia="Times New Roman" w:hAnsi="Calibri" w:cs="Calibri"/>
          <w:color w:val="000000"/>
          <w:lang w:eastAsia="en-CA"/>
        </w:rPr>
        <w:t>in S</w:t>
      </w:r>
      <w:r w:rsidRPr="00967C9B">
        <w:rPr>
          <w:rFonts w:ascii="Calibri" w:eastAsia="Times New Roman" w:hAnsi="Calibri" w:cs="Calibri"/>
          <w:color w:val="000000"/>
          <w:lang w:eastAsia="en-CA"/>
        </w:rPr>
        <w:t xml:space="preserve">ection </w:t>
      </w:r>
      <w:r w:rsidR="00B847BA" w:rsidRPr="00967C9B">
        <w:rPr>
          <w:rFonts w:ascii="Calibri" w:eastAsia="Times New Roman" w:hAnsi="Calibri" w:cs="Calibri"/>
          <w:color w:val="000000"/>
          <w:lang w:eastAsia="en-CA"/>
        </w:rPr>
        <w:t>10</w:t>
      </w:r>
      <w:r w:rsidR="003B3D5A" w:rsidRPr="00967C9B">
        <w:rPr>
          <w:rFonts w:ascii="Calibri" w:eastAsia="Times New Roman" w:hAnsi="Calibri" w:cs="Calibri"/>
          <w:color w:val="000000"/>
          <w:lang w:eastAsia="en-CA"/>
        </w:rPr>
        <w:t>: Summary table</w:t>
      </w:r>
      <w:r w:rsidRPr="00967C9B">
        <w:rPr>
          <w:rFonts w:ascii="Calibri" w:eastAsia="Times New Roman" w:hAnsi="Calibri" w:cs="Calibri"/>
          <w:color w:val="000000"/>
          <w:lang w:eastAsia="en-CA"/>
        </w:rPr>
        <w:t>).</w:t>
      </w:r>
    </w:p>
    <w:p w14:paraId="30493FCC" w14:textId="7619EF7F" w:rsidR="005A0AFF" w:rsidRPr="00967C9B" w:rsidRDefault="002F77DB" w:rsidP="00DD3961">
      <w:pPr>
        <w:pStyle w:val="Heading1"/>
        <w:jc w:val="both"/>
        <w:rPr>
          <w:rFonts w:asciiTheme="minorHAnsi" w:hAnsiTheme="minorHAnsi"/>
          <w:sz w:val="24"/>
          <w:szCs w:val="24"/>
        </w:rPr>
      </w:pPr>
      <w:bookmarkStart w:id="67" w:name="_Toc8644448"/>
      <w:bookmarkStart w:id="68" w:name="_Toc8644550"/>
      <w:r w:rsidRPr="00967C9B">
        <w:rPr>
          <w:rFonts w:asciiTheme="minorHAnsi" w:hAnsiTheme="minorHAnsi"/>
          <w:sz w:val="24"/>
          <w:szCs w:val="24"/>
        </w:rPr>
        <w:t>7</w:t>
      </w:r>
      <w:r w:rsidR="00141070" w:rsidRPr="00967C9B">
        <w:rPr>
          <w:rFonts w:asciiTheme="minorHAnsi" w:hAnsiTheme="minorHAnsi"/>
          <w:sz w:val="24"/>
          <w:szCs w:val="24"/>
        </w:rPr>
        <w:t>) Budget and Responsibilities</w:t>
      </w:r>
      <w:bookmarkEnd w:id="67"/>
      <w:bookmarkEnd w:id="68"/>
      <w:r w:rsidR="00141070" w:rsidRPr="00967C9B">
        <w:rPr>
          <w:rFonts w:asciiTheme="minorHAnsi" w:hAnsiTheme="minorHAnsi"/>
          <w:sz w:val="24"/>
          <w:szCs w:val="24"/>
        </w:rPr>
        <w:t xml:space="preserve"> </w:t>
      </w:r>
    </w:p>
    <w:p w14:paraId="505A78FC" w14:textId="2B5EE5AA"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 this plan, two types of activities are detailed</w:t>
      </w:r>
      <w:r w:rsidR="00CA7139" w:rsidRPr="00967C9B">
        <w:rPr>
          <w:rFonts w:ascii="Calibri" w:eastAsia="Times New Roman" w:hAnsi="Calibri" w:cs="Calibri"/>
          <w:color w:val="000000"/>
          <w:lang w:eastAsia="en-CA"/>
        </w:rPr>
        <w:t xml:space="preserve"> that</w:t>
      </w:r>
      <w:r w:rsidRPr="00967C9B">
        <w:rPr>
          <w:rFonts w:ascii="Calibri" w:eastAsia="Times New Roman" w:hAnsi="Calibri" w:cs="Calibri"/>
          <w:color w:val="000000"/>
          <w:lang w:eastAsia="en-CA"/>
        </w:rPr>
        <w:t xml:space="preserve"> require a specific budget for their execution</w:t>
      </w:r>
      <w:r w:rsidR="00D25A18"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and others are actions that are described in such a way that they are </w:t>
      </w:r>
      <w:r w:rsidR="00CA7139" w:rsidRPr="00967C9B">
        <w:rPr>
          <w:rFonts w:ascii="Calibri" w:eastAsia="Times New Roman" w:hAnsi="Calibri" w:cs="Calibri"/>
          <w:color w:val="000000"/>
          <w:lang w:eastAsia="en-CA"/>
        </w:rPr>
        <w:t xml:space="preserve">implemented </w:t>
      </w:r>
      <w:r w:rsidRPr="00967C9B">
        <w:rPr>
          <w:rFonts w:ascii="Calibri" w:eastAsia="Times New Roman" w:hAnsi="Calibri" w:cs="Calibri"/>
          <w:color w:val="000000"/>
          <w:lang w:eastAsia="en-CA"/>
        </w:rPr>
        <w:t>but do not include a budget for their execution, such as the inclusion of minimum percentages of participation, advance and evaluation reports on the participation of men and women, among others (those that do not they need a specific budget</w:t>
      </w:r>
      <w:r w:rsidR="00D25A18"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 xml:space="preserve">are cited in Section </w:t>
      </w:r>
      <w:r w:rsidR="006C2A9D" w:rsidRPr="00967C9B">
        <w:rPr>
          <w:rFonts w:ascii="Calibri" w:eastAsia="Times New Roman" w:hAnsi="Calibri" w:cs="Calibri"/>
          <w:color w:val="000000"/>
          <w:lang w:eastAsia="en-CA"/>
        </w:rPr>
        <w:t>10</w:t>
      </w:r>
      <w:r w:rsidR="003B3D5A" w:rsidRPr="00967C9B">
        <w:rPr>
          <w:rFonts w:ascii="Calibri" w:eastAsia="Times New Roman" w:hAnsi="Calibri" w:cs="Calibri"/>
          <w:color w:val="000000"/>
          <w:lang w:eastAsia="en-CA"/>
        </w:rPr>
        <w:t>: S</w:t>
      </w:r>
      <w:r w:rsidRPr="00967C9B">
        <w:rPr>
          <w:rFonts w:ascii="Calibri" w:eastAsia="Times New Roman" w:hAnsi="Calibri" w:cs="Calibri"/>
          <w:color w:val="000000"/>
          <w:lang w:eastAsia="en-CA"/>
        </w:rPr>
        <w:t xml:space="preserve">ummary table). </w:t>
      </w:r>
    </w:p>
    <w:p w14:paraId="39E03FBA"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41327E38" w14:textId="460A8646" w:rsidR="00017A6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 activities that require funds and that have been integrated into the project budget are presented below:</w:t>
      </w:r>
    </w:p>
    <w:p w14:paraId="49210216" w14:textId="77777777" w:rsidR="00017A60" w:rsidRPr="00967C9B" w:rsidRDefault="00017A60" w:rsidP="00141070">
      <w:pPr>
        <w:spacing w:after="0" w:line="240" w:lineRule="auto"/>
        <w:rPr>
          <w:rFonts w:ascii="Times New Roman" w:eastAsia="Times New Roman" w:hAnsi="Times New Roman" w:cs="Times New Roman"/>
          <w:sz w:val="24"/>
          <w:szCs w:val="24"/>
          <w:lang w:eastAsia="en-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544"/>
        <w:gridCol w:w="1284"/>
      </w:tblGrid>
      <w:tr w:rsidR="00BC68B0" w:rsidRPr="00967C9B" w14:paraId="7B03946E" w14:textId="77777777" w:rsidTr="003B3D5A">
        <w:tc>
          <w:tcPr>
            <w:tcW w:w="0" w:type="auto"/>
            <w:tcMar>
              <w:top w:w="0" w:type="dxa"/>
              <w:left w:w="108" w:type="dxa"/>
              <w:bottom w:w="0" w:type="dxa"/>
              <w:right w:w="108" w:type="dxa"/>
            </w:tcMar>
            <w:hideMark/>
          </w:tcPr>
          <w:p w14:paraId="0CFFDA98" w14:textId="77777777" w:rsidR="00141070" w:rsidRPr="00967C9B" w:rsidRDefault="00141070" w:rsidP="00141070">
            <w:pPr>
              <w:spacing w:after="0" w:line="240" w:lineRule="auto"/>
              <w:jc w:val="center"/>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0"/>
                <w:szCs w:val="20"/>
                <w:lang w:eastAsia="en-CA"/>
              </w:rPr>
              <w:t>Activity</w:t>
            </w:r>
          </w:p>
          <w:p w14:paraId="4E71B250"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tc>
        <w:tc>
          <w:tcPr>
            <w:tcW w:w="0" w:type="auto"/>
            <w:tcMar>
              <w:top w:w="0" w:type="dxa"/>
              <w:left w:w="108" w:type="dxa"/>
              <w:bottom w:w="0" w:type="dxa"/>
              <w:right w:w="108" w:type="dxa"/>
            </w:tcMar>
            <w:hideMark/>
          </w:tcPr>
          <w:p w14:paraId="7AD290A2" w14:textId="69C4152F" w:rsidR="00141070" w:rsidRPr="00967C9B" w:rsidRDefault="00141070" w:rsidP="00141070">
            <w:pPr>
              <w:spacing w:after="0" w:line="240" w:lineRule="auto"/>
              <w:jc w:val="center"/>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0"/>
                <w:szCs w:val="20"/>
                <w:lang w:eastAsia="en-CA"/>
              </w:rPr>
              <w:t>Budget</w:t>
            </w:r>
            <w:r w:rsidR="00CA7139" w:rsidRPr="00967C9B">
              <w:rPr>
                <w:rFonts w:ascii="Calibri" w:eastAsia="Times New Roman" w:hAnsi="Calibri" w:cs="Calibri"/>
                <w:b/>
                <w:bCs/>
                <w:color w:val="000000"/>
                <w:sz w:val="20"/>
                <w:szCs w:val="20"/>
                <w:lang w:eastAsia="en-CA"/>
              </w:rPr>
              <w:t xml:space="preserve"> $USD</w:t>
            </w:r>
          </w:p>
        </w:tc>
      </w:tr>
      <w:tr w:rsidR="00804C35" w:rsidRPr="00967C9B" w14:paraId="406007A6" w14:textId="77777777" w:rsidTr="003B3D5A">
        <w:tc>
          <w:tcPr>
            <w:tcW w:w="0" w:type="auto"/>
            <w:shd w:val="clear" w:color="auto" w:fill="C6D9F1"/>
            <w:tcMar>
              <w:top w:w="0" w:type="dxa"/>
              <w:left w:w="108" w:type="dxa"/>
              <w:bottom w:w="0" w:type="dxa"/>
              <w:right w:w="108" w:type="dxa"/>
            </w:tcMar>
            <w:hideMark/>
          </w:tcPr>
          <w:p w14:paraId="53622A49" w14:textId="2A01020D" w:rsidR="00141070" w:rsidRPr="00967C9B" w:rsidRDefault="00011574"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0"/>
                <w:szCs w:val="20"/>
                <w:lang w:eastAsia="en-CA"/>
              </w:rPr>
              <w:t xml:space="preserve">Outcome </w:t>
            </w:r>
            <w:r w:rsidR="00141070" w:rsidRPr="00967C9B">
              <w:rPr>
                <w:rFonts w:ascii="Calibri" w:eastAsia="Times New Roman" w:hAnsi="Calibri" w:cs="Calibri"/>
                <w:b/>
                <w:bCs/>
                <w:color w:val="000000"/>
                <w:sz w:val="20"/>
                <w:szCs w:val="20"/>
                <w:lang w:eastAsia="en-CA"/>
              </w:rPr>
              <w:t>1: TDA</w:t>
            </w:r>
          </w:p>
        </w:tc>
        <w:tc>
          <w:tcPr>
            <w:tcW w:w="0" w:type="auto"/>
            <w:shd w:val="clear" w:color="auto" w:fill="C6D9F1"/>
            <w:tcMar>
              <w:top w:w="0" w:type="dxa"/>
              <w:left w:w="108" w:type="dxa"/>
              <w:bottom w:w="0" w:type="dxa"/>
              <w:right w:w="108" w:type="dxa"/>
            </w:tcMar>
            <w:hideMark/>
          </w:tcPr>
          <w:p w14:paraId="77FD02C4"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tc>
      </w:tr>
      <w:tr w:rsidR="00804C35" w:rsidRPr="00967C9B" w14:paraId="1E4FC479" w14:textId="77777777" w:rsidTr="003B3D5A">
        <w:tc>
          <w:tcPr>
            <w:tcW w:w="0" w:type="auto"/>
            <w:tcMar>
              <w:top w:w="0" w:type="dxa"/>
              <w:left w:w="108" w:type="dxa"/>
              <w:bottom w:w="0" w:type="dxa"/>
              <w:right w:w="108" w:type="dxa"/>
            </w:tcMar>
            <w:hideMark/>
          </w:tcPr>
          <w:p w14:paraId="3C419833" w14:textId="13E2EEFC" w:rsidR="00141070" w:rsidRPr="00967C9B" w:rsidRDefault="00804C35" w:rsidP="00BC68B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Consultant for c</w:t>
            </w:r>
            <w:r w:rsidR="00141070" w:rsidRPr="00967C9B">
              <w:rPr>
                <w:rFonts w:ascii="Calibri" w:eastAsia="Times New Roman" w:hAnsi="Calibri" w:cs="Calibri"/>
                <w:color w:val="000000"/>
                <w:sz w:val="20"/>
                <w:szCs w:val="20"/>
                <w:lang w:eastAsia="en-CA"/>
              </w:rPr>
              <w:t>ollection and organization of existing information on gender equality and participation</w:t>
            </w:r>
            <w:r w:rsidR="0099189B" w:rsidRPr="00967C9B">
              <w:rPr>
                <w:rFonts w:ascii="Calibri" w:eastAsia="Times New Roman" w:hAnsi="Calibri" w:cs="Calibri"/>
                <w:color w:val="000000"/>
                <w:sz w:val="20"/>
                <w:szCs w:val="20"/>
                <w:lang w:eastAsia="en-CA"/>
              </w:rPr>
              <w:t xml:space="preserve"> </w:t>
            </w:r>
          </w:p>
        </w:tc>
        <w:tc>
          <w:tcPr>
            <w:tcW w:w="0" w:type="auto"/>
            <w:tcMar>
              <w:top w:w="0" w:type="dxa"/>
              <w:left w:w="108" w:type="dxa"/>
              <w:bottom w:w="0" w:type="dxa"/>
              <w:right w:w="108" w:type="dxa"/>
            </w:tcMar>
            <w:hideMark/>
          </w:tcPr>
          <w:p w14:paraId="3B78A49C" w14:textId="56EDE615" w:rsidR="00141070" w:rsidRPr="00967C9B" w:rsidRDefault="00BC68B0"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 xml:space="preserve">   </w:t>
            </w:r>
            <w:proofErr w:type="gramStart"/>
            <w:r w:rsidR="00141070" w:rsidRPr="00967C9B">
              <w:rPr>
                <w:rFonts w:ascii="Calibri" w:eastAsia="Times New Roman" w:hAnsi="Calibri" w:cs="Calibri"/>
                <w:color w:val="000000"/>
                <w:sz w:val="20"/>
                <w:szCs w:val="20"/>
                <w:lang w:eastAsia="en-CA"/>
              </w:rPr>
              <w:t>7,000</w:t>
            </w:r>
            <w:r w:rsidRPr="00967C9B">
              <w:rPr>
                <w:rFonts w:ascii="Calibri" w:eastAsia="Times New Roman" w:hAnsi="Calibri" w:cs="Calibri"/>
                <w:color w:val="000000"/>
                <w:sz w:val="20"/>
                <w:szCs w:val="20"/>
                <w:lang w:eastAsia="en-CA"/>
              </w:rPr>
              <w:t>,oo</w:t>
            </w:r>
            <w:proofErr w:type="gramEnd"/>
          </w:p>
        </w:tc>
      </w:tr>
      <w:tr w:rsidR="00804C35" w:rsidRPr="00967C9B" w14:paraId="6719A110" w14:textId="77777777" w:rsidTr="003B3D5A">
        <w:tc>
          <w:tcPr>
            <w:tcW w:w="0" w:type="auto"/>
            <w:tcMar>
              <w:top w:w="0" w:type="dxa"/>
              <w:left w:w="108" w:type="dxa"/>
              <w:bottom w:w="0" w:type="dxa"/>
              <w:right w:w="108" w:type="dxa"/>
            </w:tcMar>
            <w:hideMark/>
          </w:tcPr>
          <w:p w14:paraId="75311A97" w14:textId="107B29EA" w:rsidR="00141070" w:rsidRPr="00967C9B" w:rsidRDefault="008445BF" w:rsidP="008445BF">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 xml:space="preserve">Study on </w:t>
            </w:r>
            <w:r w:rsidR="00141070" w:rsidRPr="00967C9B">
              <w:rPr>
                <w:rFonts w:ascii="Calibri" w:eastAsia="Times New Roman" w:hAnsi="Calibri" w:cs="Calibri"/>
                <w:color w:val="000000"/>
                <w:sz w:val="20"/>
                <w:szCs w:val="20"/>
                <w:lang w:eastAsia="en-CA"/>
              </w:rPr>
              <w:t xml:space="preserve">gender </w:t>
            </w:r>
            <w:r w:rsidRPr="00967C9B">
              <w:rPr>
                <w:rFonts w:ascii="Calibri" w:eastAsia="Times New Roman" w:hAnsi="Calibri" w:cs="Calibri"/>
                <w:color w:val="000000"/>
                <w:sz w:val="20"/>
                <w:szCs w:val="20"/>
                <w:lang w:eastAsia="en-CA"/>
              </w:rPr>
              <w:t>and</w:t>
            </w:r>
            <w:r w:rsidR="00141070" w:rsidRPr="00967C9B">
              <w:rPr>
                <w:rFonts w:ascii="Calibri" w:eastAsia="Times New Roman" w:hAnsi="Calibri" w:cs="Calibri"/>
                <w:color w:val="000000"/>
                <w:sz w:val="20"/>
                <w:szCs w:val="20"/>
                <w:lang w:eastAsia="en-CA"/>
              </w:rPr>
              <w:t xml:space="preserve"> governance of water and irrigation boards </w:t>
            </w:r>
          </w:p>
        </w:tc>
        <w:tc>
          <w:tcPr>
            <w:tcW w:w="0" w:type="auto"/>
            <w:tcMar>
              <w:top w:w="0" w:type="dxa"/>
              <w:left w:w="108" w:type="dxa"/>
              <w:bottom w:w="0" w:type="dxa"/>
              <w:right w:w="108" w:type="dxa"/>
            </w:tcMar>
            <w:hideMark/>
          </w:tcPr>
          <w:p w14:paraId="77D5FB61" w14:textId="1EDE9E49" w:rsidR="00141070" w:rsidRPr="00967C9B" w:rsidRDefault="00BC68B0"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 xml:space="preserve"> </w:t>
            </w:r>
            <w:proofErr w:type="gramStart"/>
            <w:r w:rsidR="00141070" w:rsidRPr="00967C9B">
              <w:rPr>
                <w:rFonts w:ascii="Calibri" w:eastAsia="Times New Roman" w:hAnsi="Calibri" w:cs="Calibri"/>
                <w:color w:val="000000"/>
                <w:sz w:val="20"/>
                <w:szCs w:val="20"/>
                <w:lang w:eastAsia="en-CA"/>
              </w:rPr>
              <w:t>25,000</w:t>
            </w:r>
            <w:r w:rsidRPr="00967C9B">
              <w:rPr>
                <w:rFonts w:ascii="Calibri" w:eastAsia="Times New Roman" w:hAnsi="Calibri" w:cs="Calibri"/>
                <w:color w:val="000000"/>
                <w:sz w:val="20"/>
                <w:szCs w:val="20"/>
                <w:lang w:eastAsia="en-CA"/>
              </w:rPr>
              <w:t>,oo</w:t>
            </w:r>
            <w:proofErr w:type="gramEnd"/>
          </w:p>
        </w:tc>
      </w:tr>
      <w:tr w:rsidR="00804C35" w:rsidRPr="00967C9B" w14:paraId="2C2DC870" w14:textId="77777777" w:rsidTr="003B3D5A">
        <w:tc>
          <w:tcPr>
            <w:tcW w:w="0" w:type="auto"/>
            <w:shd w:val="clear" w:color="auto" w:fill="C6D9F1"/>
            <w:tcMar>
              <w:top w:w="0" w:type="dxa"/>
              <w:left w:w="108" w:type="dxa"/>
              <w:bottom w:w="0" w:type="dxa"/>
              <w:right w:w="108" w:type="dxa"/>
            </w:tcMar>
            <w:hideMark/>
          </w:tcPr>
          <w:p w14:paraId="5D44C125" w14:textId="26886EF4" w:rsidR="00141070" w:rsidRPr="00967C9B" w:rsidRDefault="00011574"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0"/>
                <w:szCs w:val="20"/>
                <w:lang w:eastAsia="en-CA"/>
              </w:rPr>
              <w:t xml:space="preserve">Outcome </w:t>
            </w:r>
            <w:r w:rsidR="008445BF" w:rsidRPr="00967C9B">
              <w:rPr>
                <w:rFonts w:ascii="Calibri" w:eastAsia="Times New Roman" w:hAnsi="Calibri" w:cs="Calibri"/>
                <w:b/>
                <w:bCs/>
                <w:color w:val="000000"/>
                <w:sz w:val="20"/>
                <w:szCs w:val="20"/>
                <w:lang w:eastAsia="en-CA"/>
              </w:rPr>
              <w:t>3</w:t>
            </w:r>
            <w:r w:rsidR="00141070" w:rsidRPr="00967C9B">
              <w:rPr>
                <w:rFonts w:ascii="Calibri" w:eastAsia="Times New Roman" w:hAnsi="Calibri" w:cs="Calibri"/>
                <w:b/>
                <w:bCs/>
                <w:color w:val="000000"/>
                <w:sz w:val="20"/>
                <w:szCs w:val="20"/>
                <w:lang w:eastAsia="en-CA"/>
              </w:rPr>
              <w:t xml:space="preserve">. </w:t>
            </w:r>
            <w:r w:rsidR="008445BF" w:rsidRPr="00967C9B">
              <w:rPr>
                <w:rFonts w:ascii="Calibri" w:eastAsia="Times New Roman" w:hAnsi="Calibri" w:cs="Calibri"/>
                <w:b/>
                <w:bCs/>
                <w:color w:val="000000"/>
                <w:sz w:val="20"/>
                <w:szCs w:val="20"/>
                <w:lang w:eastAsia="en-CA"/>
              </w:rPr>
              <w:t xml:space="preserve">Training </w:t>
            </w:r>
          </w:p>
        </w:tc>
        <w:tc>
          <w:tcPr>
            <w:tcW w:w="0" w:type="auto"/>
            <w:shd w:val="clear" w:color="auto" w:fill="C6D9F1"/>
            <w:tcMar>
              <w:top w:w="0" w:type="dxa"/>
              <w:left w:w="108" w:type="dxa"/>
              <w:bottom w:w="0" w:type="dxa"/>
              <w:right w:w="108" w:type="dxa"/>
            </w:tcMar>
            <w:hideMark/>
          </w:tcPr>
          <w:p w14:paraId="31B29C95"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tc>
      </w:tr>
      <w:tr w:rsidR="00804C35" w:rsidRPr="00967C9B" w14:paraId="4902EE12" w14:textId="77777777" w:rsidTr="003B3D5A">
        <w:tc>
          <w:tcPr>
            <w:tcW w:w="0" w:type="auto"/>
            <w:tcMar>
              <w:top w:w="0" w:type="dxa"/>
              <w:left w:w="108" w:type="dxa"/>
              <w:bottom w:w="0" w:type="dxa"/>
              <w:right w:w="108" w:type="dxa"/>
            </w:tcMar>
            <w:hideMark/>
          </w:tcPr>
          <w:p w14:paraId="736F2F06" w14:textId="563FCBBB" w:rsidR="00141070" w:rsidRPr="00967C9B" w:rsidRDefault="008445BF" w:rsidP="00C604B1">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 xml:space="preserve">A course </w:t>
            </w:r>
            <w:r w:rsidR="00C604B1" w:rsidRPr="00967C9B">
              <w:rPr>
                <w:rFonts w:ascii="Calibri" w:eastAsia="Times New Roman" w:hAnsi="Calibri" w:cs="Calibri"/>
                <w:color w:val="000000"/>
                <w:sz w:val="20"/>
                <w:szCs w:val="20"/>
                <w:lang w:eastAsia="en-CA"/>
              </w:rPr>
              <w:t xml:space="preserve">to mainstream </w:t>
            </w:r>
            <w:r w:rsidRPr="00967C9B">
              <w:rPr>
                <w:rFonts w:ascii="Calibri" w:eastAsia="Times New Roman" w:hAnsi="Calibri" w:cs="Calibri"/>
                <w:color w:val="000000"/>
                <w:sz w:val="20"/>
                <w:szCs w:val="20"/>
                <w:lang w:eastAsia="en-CA"/>
              </w:rPr>
              <w:t xml:space="preserve">gender </w:t>
            </w:r>
            <w:r w:rsidR="00C604B1" w:rsidRPr="00967C9B">
              <w:rPr>
                <w:rFonts w:ascii="Calibri" w:eastAsia="Times New Roman" w:hAnsi="Calibri" w:cs="Calibri"/>
                <w:color w:val="000000"/>
                <w:sz w:val="20"/>
                <w:szCs w:val="20"/>
                <w:lang w:eastAsia="en-CA"/>
              </w:rPr>
              <w:t>on water</w:t>
            </w:r>
            <w:r w:rsidRPr="00967C9B">
              <w:rPr>
                <w:rFonts w:ascii="Calibri" w:eastAsia="Times New Roman" w:hAnsi="Calibri" w:cs="Calibri"/>
                <w:color w:val="000000"/>
                <w:sz w:val="20"/>
                <w:szCs w:val="20"/>
                <w:lang w:eastAsia="en-CA"/>
              </w:rPr>
              <w:t xml:space="preserve"> governance </w:t>
            </w:r>
          </w:p>
        </w:tc>
        <w:tc>
          <w:tcPr>
            <w:tcW w:w="0" w:type="auto"/>
            <w:tcMar>
              <w:top w:w="0" w:type="dxa"/>
              <w:left w:w="108" w:type="dxa"/>
              <w:bottom w:w="0" w:type="dxa"/>
              <w:right w:w="108" w:type="dxa"/>
            </w:tcMar>
            <w:hideMark/>
          </w:tcPr>
          <w:p w14:paraId="0B6BFE2E" w14:textId="326C6EF8" w:rsidR="008445BF" w:rsidRPr="00967C9B" w:rsidRDefault="00BC68B0" w:rsidP="00141070">
            <w:pPr>
              <w:spacing w:after="0" w:line="240" w:lineRule="auto"/>
              <w:rPr>
                <w:rFonts w:ascii="Calibri" w:eastAsia="Times New Roman" w:hAnsi="Calibri" w:cs="Calibri"/>
                <w:color w:val="000000"/>
                <w:sz w:val="20"/>
                <w:szCs w:val="20"/>
                <w:lang w:eastAsia="en-CA"/>
              </w:rPr>
            </w:pPr>
            <w:r w:rsidRPr="00967C9B">
              <w:rPr>
                <w:rFonts w:ascii="Calibri" w:eastAsia="Times New Roman" w:hAnsi="Calibri" w:cs="Calibri"/>
                <w:color w:val="000000"/>
                <w:sz w:val="20"/>
                <w:szCs w:val="20"/>
                <w:lang w:eastAsia="en-CA"/>
              </w:rPr>
              <w:t xml:space="preserve"> </w:t>
            </w:r>
            <w:proofErr w:type="gramStart"/>
            <w:r w:rsidRPr="00967C9B">
              <w:rPr>
                <w:rFonts w:ascii="Calibri" w:eastAsia="Times New Roman" w:hAnsi="Calibri" w:cs="Calibri"/>
                <w:color w:val="000000"/>
                <w:sz w:val="20"/>
                <w:szCs w:val="20"/>
                <w:lang w:eastAsia="en-CA"/>
              </w:rPr>
              <w:t>2</w:t>
            </w:r>
            <w:r w:rsidR="008445BF" w:rsidRPr="00967C9B">
              <w:rPr>
                <w:rFonts w:ascii="Calibri" w:eastAsia="Times New Roman" w:hAnsi="Calibri" w:cs="Calibri"/>
                <w:color w:val="000000"/>
                <w:sz w:val="20"/>
                <w:szCs w:val="20"/>
                <w:lang w:eastAsia="en-CA"/>
              </w:rPr>
              <w:t>0,000</w:t>
            </w:r>
            <w:r w:rsidRPr="00967C9B">
              <w:rPr>
                <w:rFonts w:ascii="Calibri" w:eastAsia="Times New Roman" w:hAnsi="Calibri" w:cs="Calibri"/>
                <w:color w:val="000000"/>
                <w:sz w:val="20"/>
                <w:szCs w:val="20"/>
                <w:lang w:eastAsia="en-CA"/>
              </w:rPr>
              <w:t>,oo</w:t>
            </w:r>
            <w:proofErr w:type="gramEnd"/>
          </w:p>
        </w:tc>
      </w:tr>
      <w:tr w:rsidR="00804C35" w:rsidRPr="00967C9B" w14:paraId="1D937D87" w14:textId="77777777" w:rsidTr="003B3D5A">
        <w:tc>
          <w:tcPr>
            <w:tcW w:w="0" w:type="auto"/>
            <w:shd w:val="clear" w:color="auto" w:fill="C6D9F1"/>
            <w:tcMar>
              <w:top w:w="0" w:type="dxa"/>
              <w:left w:w="108" w:type="dxa"/>
              <w:bottom w:w="0" w:type="dxa"/>
              <w:right w:w="108" w:type="dxa"/>
            </w:tcMar>
            <w:hideMark/>
          </w:tcPr>
          <w:p w14:paraId="10740DB2" w14:textId="40C5E76C" w:rsidR="00141070" w:rsidRPr="00967C9B" w:rsidRDefault="00011574"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0"/>
                <w:szCs w:val="20"/>
                <w:lang w:eastAsia="en-CA"/>
              </w:rPr>
              <w:t>Outcome</w:t>
            </w:r>
            <w:r w:rsidR="00A67CE8" w:rsidRPr="00967C9B">
              <w:rPr>
                <w:rFonts w:ascii="Calibri" w:eastAsia="Times New Roman" w:hAnsi="Calibri" w:cs="Calibri"/>
                <w:b/>
                <w:bCs/>
                <w:color w:val="000000"/>
                <w:sz w:val="20"/>
                <w:szCs w:val="20"/>
                <w:lang w:eastAsia="en-CA"/>
              </w:rPr>
              <w:t xml:space="preserve"> 4.2: Lessons and learning</w:t>
            </w:r>
          </w:p>
        </w:tc>
        <w:tc>
          <w:tcPr>
            <w:tcW w:w="0" w:type="auto"/>
            <w:shd w:val="clear" w:color="auto" w:fill="C6D9F1"/>
            <w:tcMar>
              <w:top w:w="0" w:type="dxa"/>
              <w:left w:w="108" w:type="dxa"/>
              <w:bottom w:w="0" w:type="dxa"/>
              <w:right w:w="108" w:type="dxa"/>
            </w:tcMar>
            <w:hideMark/>
          </w:tcPr>
          <w:p w14:paraId="4F3E2162"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tc>
      </w:tr>
      <w:tr w:rsidR="00804C35" w:rsidRPr="00967C9B" w14:paraId="3DC0DBAE" w14:textId="77777777" w:rsidTr="003B3D5A">
        <w:tc>
          <w:tcPr>
            <w:tcW w:w="0" w:type="auto"/>
            <w:tcMar>
              <w:top w:w="0" w:type="dxa"/>
              <w:left w:w="108" w:type="dxa"/>
              <w:bottom w:w="0" w:type="dxa"/>
              <w:right w:w="108" w:type="dxa"/>
            </w:tcMar>
            <w:hideMark/>
          </w:tcPr>
          <w:p w14:paraId="3E435E1D" w14:textId="7B50F573" w:rsidR="00141070" w:rsidRPr="00967C9B" w:rsidRDefault="00141070" w:rsidP="00141070">
            <w:pPr>
              <w:spacing w:after="0" w:line="240" w:lineRule="auto"/>
              <w:rPr>
                <w:rFonts w:ascii="Times New Roman" w:eastAsia="Times New Roman" w:hAnsi="Times New Roman" w:cs="Times New Roman"/>
                <w:sz w:val="24"/>
                <w:szCs w:val="24"/>
                <w:lang w:eastAsia="en-CA"/>
              </w:rPr>
            </w:pPr>
          </w:p>
        </w:tc>
        <w:tc>
          <w:tcPr>
            <w:tcW w:w="0" w:type="auto"/>
            <w:tcMar>
              <w:top w:w="0" w:type="dxa"/>
              <w:left w:w="108" w:type="dxa"/>
              <w:bottom w:w="0" w:type="dxa"/>
              <w:right w:w="108" w:type="dxa"/>
            </w:tcMar>
            <w:hideMark/>
          </w:tcPr>
          <w:p w14:paraId="397E4F9C" w14:textId="4A50BC56" w:rsidR="00141070" w:rsidRPr="00967C9B" w:rsidRDefault="00141070" w:rsidP="00141070">
            <w:pPr>
              <w:spacing w:after="0" w:line="240" w:lineRule="auto"/>
              <w:rPr>
                <w:rFonts w:ascii="Times New Roman" w:eastAsia="Times New Roman" w:hAnsi="Times New Roman" w:cs="Times New Roman"/>
                <w:sz w:val="24"/>
                <w:szCs w:val="24"/>
                <w:highlight w:val="cyan"/>
                <w:lang w:eastAsia="en-CA"/>
              </w:rPr>
            </w:pPr>
          </w:p>
        </w:tc>
      </w:tr>
      <w:tr w:rsidR="00804C35" w:rsidRPr="00967C9B" w14:paraId="72E638A0" w14:textId="77777777" w:rsidTr="003B3D5A">
        <w:tc>
          <w:tcPr>
            <w:tcW w:w="0" w:type="auto"/>
            <w:tcMar>
              <w:top w:w="0" w:type="dxa"/>
              <w:left w:w="108" w:type="dxa"/>
              <w:bottom w:w="0" w:type="dxa"/>
              <w:right w:w="108" w:type="dxa"/>
            </w:tcMar>
            <w:hideMark/>
          </w:tcPr>
          <w:p w14:paraId="203B54AB" w14:textId="6877BFFD" w:rsidR="00A67CE8" w:rsidRPr="00967C9B" w:rsidRDefault="00A67CE8" w:rsidP="00CC3322">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On-site women meetings (monitoring and involvement)</w:t>
            </w:r>
          </w:p>
        </w:tc>
        <w:tc>
          <w:tcPr>
            <w:tcW w:w="0" w:type="auto"/>
            <w:tcMar>
              <w:top w:w="0" w:type="dxa"/>
              <w:left w:w="108" w:type="dxa"/>
              <w:bottom w:w="0" w:type="dxa"/>
              <w:right w:w="108" w:type="dxa"/>
            </w:tcMar>
            <w:hideMark/>
          </w:tcPr>
          <w:p w14:paraId="1F2BEB15" w14:textId="42EF5745" w:rsidR="008445BF" w:rsidRPr="00967C9B" w:rsidRDefault="00A67CE8" w:rsidP="00C604B1">
            <w:pPr>
              <w:spacing w:after="0" w:line="240" w:lineRule="auto"/>
              <w:rPr>
                <w:rFonts w:ascii="Calibri" w:eastAsia="Times New Roman" w:hAnsi="Calibri" w:cs="Calibri"/>
                <w:color w:val="000000"/>
                <w:sz w:val="20"/>
                <w:szCs w:val="20"/>
                <w:lang w:eastAsia="en-CA"/>
              </w:rPr>
            </w:pPr>
            <w:r w:rsidRPr="00967C9B">
              <w:rPr>
                <w:rFonts w:ascii="Calibri" w:eastAsia="Times New Roman" w:hAnsi="Calibri" w:cs="Calibri"/>
                <w:color w:val="000000"/>
                <w:sz w:val="20"/>
                <w:szCs w:val="20"/>
                <w:lang w:eastAsia="en-CA"/>
              </w:rPr>
              <w:t xml:space="preserve"> </w:t>
            </w:r>
            <w:proofErr w:type="gramStart"/>
            <w:r w:rsidRPr="00967C9B">
              <w:rPr>
                <w:rFonts w:ascii="Calibri" w:eastAsia="Times New Roman" w:hAnsi="Calibri" w:cs="Calibri"/>
                <w:color w:val="000000"/>
                <w:sz w:val="20"/>
                <w:szCs w:val="20"/>
                <w:lang w:eastAsia="en-CA"/>
              </w:rPr>
              <w:t>16,000,oo</w:t>
            </w:r>
            <w:proofErr w:type="gramEnd"/>
          </w:p>
        </w:tc>
      </w:tr>
      <w:tr w:rsidR="00804C35" w:rsidRPr="00967C9B" w14:paraId="1A86A6E7" w14:textId="77777777" w:rsidTr="003B3D5A">
        <w:tc>
          <w:tcPr>
            <w:tcW w:w="0" w:type="auto"/>
            <w:shd w:val="clear" w:color="auto" w:fill="C6D9F1"/>
            <w:tcMar>
              <w:top w:w="0" w:type="dxa"/>
              <w:left w:w="108" w:type="dxa"/>
              <w:bottom w:w="0" w:type="dxa"/>
              <w:right w:w="108" w:type="dxa"/>
            </w:tcMar>
            <w:hideMark/>
          </w:tcPr>
          <w:p w14:paraId="2AB86B0B" w14:textId="442A77A8" w:rsidR="00141070" w:rsidRPr="00967C9B" w:rsidRDefault="008445BF"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sz w:val="20"/>
                <w:szCs w:val="20"/>
                <w:lang w:eastAsia="en-CA"/>
              </w:rPr>
              <w:t>P</w:t>
            </w:r>
            <w:r w:rsidR="00141070" w:rsidRPr="00967C9B">
              <w:rPr>
                <w:rFonts w:ascii="Calibri" w:eastAsia="Times New Roman" w:hAnsi="Calibri" w:cs="Calibri"/>
                <w:b/>
                <w:bCs/>
                <w:color w:val="000000"/>
                <w:sz w:val="20"/>
                <w:szCs w:val="20"/>
                <w:lang w:eastAsia="en-CA"/>
              </w:rPr>
              <w:t>roject execution team</w:t>
            </w:r>
            <w:r w:rsidRPr="00967C9B">
              <w:rPr>
                <w:rFonts w:ascii="Calibri" w:eastAsia="Times New Roman" w:hAnsi="Calibri" w:cs="Calibri"/>
                <w:b/>
                <w:bCs/>
                <w:color w:val="000000"/>
                <w:sz w:val="20"/>
                <w:szCs w:val="20"/>
                <w:lang w:eastAsia="en-CA"/>
              </w:rPr>
              <w:t xml:space="preserve"> (personnel)</w:t>
            </w:r>
          </w:p>
        </w:tc>
        <w:tc>
          <w:tcPr>
            <w:tcW w:w="0" w:type="auto"/>
            <w:shd w:val="clear" w:color="auto" w:fill="C6D9F1"/>
            <w:tcMar>
              <w:top w:w="0" w:type="dxa"/>
              <w:left w:w="108" w:type="dxa"/>
              <w:bottom w:w="0" w:type="dxa"/>
              <w:right w:w="108" w:type="dxa"/>
            </w:tcMar>
            <w:hideMark/>
          </w:tcPr>
          <w:p w14:paraId="7FEF4DBF"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tc>
      </w:tr>
      <w:tr w:rsidR="00804C35" w:rsidRPr="00967C9B" w14:paraId="79DE0310" w14:textId="77777777" w:rsidTr="003B3D5A">
        <w:tc>
          <w:tcPr>
            <w:tcW w:w="0" w:type="auto"/>
            <w:tcMar>
              <w:top w:w="0" w:type="dxa"/>
              <w:left w:w="108" w:type="dxa"/>
              <w:bottom w:w="0" w:type="dxa"/>
              <w:right w:w="108" w:type="dxa"/>
            </w:tcMar>
            <w:hideMark/>
          </w:tcPr>
          <w:p w14:paraId="604B4B58" w14:textId="44F9365E" w:rsidR="00BC68B0" w:rsidRPr="00967C9B" w:rsidRDefault="00BC68B0" w:rsidP="00C604B1">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 xml:space="preserve">Gender, Participation and Intercultural Specialist </w:t>
            </w:r>
          </w:p>
        </w:tc>
        <w:tc>
          <w:tcPr>
            <w:tcW w:w="0" w:type="auto"/>
            <w:tcMar>
              <w:top w:w="0" w:type="dxa"/>
              <w:left w:w="108" w:type="dxa"/>
              <w:bottom w:w="0" w:type="dxa"/>
              <w:right w:w="108" w:type="dxa"/>
            </w:tcMar>
            <w:hideMark/>
          </w:tcPr>
          <w:p w14:paraId="439658EB" w14:textId="37D04F7C" w:rsidR="00BC68B0" w:rsidRPr="00967C9B" w:rsidRDefault="00BC68B0" w:rsidP="00C604B1">
            <w:pPr>
              <w:spacing w:after="0" w:line="240" w:lineRule="auto"/>
              <w:rPr>
                <w:rFonts w:ascii="Calibri" w:eastAsia="Times New Roman" w:hAnsi="Calibri" w:cs="Calibri"/>
                <w:color w:val="000000"/>
                <w:sz w:val="20"/>
                <w:szCs w:val="20"/>
                <w:lang w:eastAsia="en-CA"/>
              </w:rPr>
            </w:pPr>
            <w:proofErr w:type="gramStart"/>
            <w:r w:rsidRPr="00967C9B">
              <w:rPr>
                <w:rFonts w:ascii="Calibri" w:eastAsia="Times New Roman" w:hAnsi="Calibri" w:cs="Calibri"/>
                <w:color w:val="000000"/>
                <w:sz w:val="20"/>
                <w:szCs w:val="20"/>
                <w:lang w:eastAsia="en-CA"/>
              </w:rPr>
              <w:t>153,024,oo</w:t>
            </w:r>
            <w:proofErr w:type="gramEnd"/>
          </w:p>
        </w:tc>
      </w:tr>
      <w:tr w:rsidR="00804C35" w:rsidRPr="00967C9B" w14:paraId="3FC5E907" w14:textId="77777777" w:rsidTr="003B3D5A">
        <w:tc>
          <w:tcPr>
            <w:tcW w:w="0" w:type="auto"/>
            <w:tcMar>
              <w:top w:w="0" w:type="dxa"/>
              <w:left w:w="108" w:type="dxa"/>
              <w:bottom w:w="0" w:type="dxa"/>
              <w:right w:w="108" w:type="dxa"/>
            </w:tcMar>
            <w:hideMark/>
          </w:tcPr>
          <w:p w14:paraId="552878E5" w14:textId="522F9152" w:rsidR="00BC68B0" w:rsidRPr="00967C9B" w:rsidRDefault="00BC68B0" w:rsidP="00C604B1">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 xml:space="preserve">SAP- Participation and gender equality assistant </w:t>
            </w:r>
          </w:p>
        </w:tc>
        <w:tc>
          <w:tcPr>
            <w:tcW w:w="0" w:type="auto"/>
            <w:tcMar>
              <w:top w:w="0" w:type="dxa"/>
              <w:left w:w="108" w:type="dxa"/>
              <w:bottom w:w="0" w:type="dxa"/>
              <w:right w:w="108" w:type="dxa"/>
            </w:tcMar>
            <w:hideMark/>
          </w:tcPr>
          <w:p w14:paraId="0CB2BB3E" w14:textId="08C803AA" w:rsidR="00BC68B0" w:rsidRPr="00967C9B" w:rsidRDefault="00BC68B0" w:rsidP="00C604B1">
            <w:pPr>
              <w:spacing w:after="0" w:line="240" w:lineRule="auto"/>
              <w:rPr>
                <w:rFonts w:ascii="Calibri" w:eastAsia="Times New Roman" w:hAnsi="Calibri" w:cs="Calibri"/>
                <w:color w:val="000000"/>
                <w:sz w:val="20"/>
                <w:szCs w:val="20"/>
                <w:lang w:eastAsia="en-CA"/>
              </w:rPr>
            </w:pPr>
            <w:r w:rsidRPr="00967C9B">
              <w:rPr>
                <w:rFonts w:ascii="Calibri" w:eastAsia="Times New Roman" w:hAnsi="Calibri" w:cs="Calibri"/>
                <w:color w:val="000000"/>
                <w:sz w:val="20"/>
                <w:szCs w:val="20"/>
                <w:lang w:eastAsia="en-CA"/>
              </w:rPr>
              <w:t xml:space="preserve">  </w:t>
            </w:r>
            <w:proofErr w:type="gramStart"/>
            <w:r w:rsidRPr="00967C9B">
              <w:rPr>
                <w:rFonts w:ascii="Calibri" w:eastAsia="Times New Roman" w:hAnsi="Calibri" w:cs="Calibri"/>
                <w:color w:val="000000"/>
                <w:sz w:val="20"/>
                <w:szCs w:val="20"/>
                <w:lang w:eastAsia="en-CA"/>
              </w:rPr>
              <w:t>27,200,oo</w:t>
            </w:r>
            <w:proofErr w:type="gramEnd"/>
          </w:p>
        </w:tc>
      </w:tr>
      <w:tr w:rsidR="00804C35" w:rsidRPr="00967C9B" w14:paraId="4CEA2939" w14:textId="77777777" w:rsidTr="003B3D5A">
        <w:tc>
          <w:tcPr>
            <w:tcW w:w="0" w:type="auto"/>
            <w:tcMar>
              <w:top w:w="0" w:type="dxa"/>
              <w:left w:w="108" w:type="dxa"/>
              <w:bottom w:w="0" w:type="dxa"/>
              <w:right w:w="108" w:type="dxa"/>
            </w:tcMar>
            <w:hideMark/>
          </w:tcPr>
          <w:p w14:paraId="72718666" w14:textId="7EB67B37" w:rsidR="00BC68B0" w:rsidRPr="00967C9B" w:rsidRDefault="00BC68B0" w:rsidP="00BC68B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sz w:val="20"/>
                <w:szCs w:val="20"/>
                <w:lang w:eastAsia="en-CA"/>
              </w:rPr>
              <w:t>Five community workers</w:t>
            </w:r>
          </w:p>
        </w:tc>
        <w:tc>
          <w:tcPr>
            <w:tcW w:w="0" w:type="auto"/>
            <w:tcMar>
              <w:top w:w="0" w:type="dxa"/>
              <w:left w:w="108" w:type="dxa"/>
              <w:bottom w:w="0" w:type="dxa"/>
              <w:right w:w="108" w:type="dxa"/>
            </w:tcMar>
            <w:hideMark/>
          </w:tcPr>
          <w:p w14:paraId="083DFB9B" w14:textId="70CEC9BE" w:rsidR="00BC68B0" w:rsidRPr="00967C9B" w:rsidRDefault="00804C35" w:rsidP="00C604B1">
            <w:pPr>
              <w:spacing w:after="0" w:line="240" w:lineRule="auto"/>
              <w:rPr>
                <w:rFonts w:ascii="Calibri" w:eastAsia="Times New Roman" w:hAnsi="Calibri" w:cs="Calibri"/>
                <w:color w:val="000000"/>
                <w:sz w:val="20"/>
                <w:szCs w:val="20"/>
                <w:lang w:eastAsia="en-CA"/>
              </w:rPr>
            </w:pPr>
            <w:r w:rsidRPr="00967C9B">
              <w:rPr>
                <w:rFonts w:ascii="Calibri" w:eastAsia="Times New Roman" w:hAnsi="Calibri" w:cs="Calibri"/>
                <w:color w:val="000000"/>
                <w:sz w:val="20"/>
                <w:szCs w:val="20"/>
                <w:lang w:eastAsia="en-CA"/>
              </w:rPr>
              <w:t xml:space="preserve">  </w:t>
            </w:r>
            <w:proofErr w:type="gramStart"/>
            <w:r w:rsidRPr="00967C9B">
              <w:rPr>
                <w:rFonts w:ascii="Calibri" w:eastAsia="Times New Roman" w:hAnsi="Calibri" w:cs="Calibri"/>
                <w:color w:val="000000"/>
                <w:sz w:val="20"/>
                <w:szCs w:val="20"/>
                <w:lang w:eastAsia="en-CA"/>
              </w:rPr>
              <w:t>56,000,oo</w:t>
            </w:r>
            <w:proofErr w:type="gramEnd"/>
          </w:p>
        </w:tc>
      </w:tr>
      <w:tr w:rsidR="00804C35" w:rsidRPr="00967C9B" w14:paraId="19B21BDC" w14:textId="77777777" w:rsidTr="003B3D5A">
        <w:tc>
          <w:tcPr>
            <w:tcW w:w="0" w:type="auto"/>
            <w:tcMar>
              <w:top w:w="0" w:type="dxa"/>
              <w:left w:w="108" w:type="dxa"/>
              <w:bottom w:w="0" w:type="dxa"/>
              <w:right w:w="108" w:type="dxa"/>
            </w:tcMar>
            <w:hideMark/>
          </w:tcPr>
          <w:p w14:paraId="0D8C42D8" w14:textId="77777777" w:rsidR="00141070" w:rsidRPr="00967C9B" w:rsidRDefault="00141070" w:rsidP="00141070">
            <w:pPr>
              <w:spacing w:after="0" w:line="240" w:lineRule="auto"/>
              <w:rPr>
                <w:rFonts w:ascii="Calibri" w:eastAsia="Times New Roman" w:hAnsi="Calibri" w:cs="Calibri"/>
                <w:b/>
                <w:bCs/>
                <w:color w:val="000000"/>
                <w:sz w:val="20"/>
                <w:szCs w:val="20"/>
                <w:lang w:eastAsia="en-CA"/>
              </w:rPr>
            </w:pPr>
            <w:r w:rsidRPr="00967C9B">
              <w:rPr>
                <w:rFonts w:ascii="Calibri" w:eastAsia="Times New Roman" w:hAnsi="Calibri" w:cs="Calibri"/>
                <w:b/>
                <w:bCs/>
                <w:color w:val="000000"/>
                <w:sz w:val="20"/>
                <w:szCs w:val="20"/>
                <w:lang w:eastAsia="en-CA"/>
              </w:rPr>
              <w:t>Total gender plan budget</w:t>
            </w:r>
          </w:p>
        </w:tc>
        <w:tc>
          <w:tcPr>
            <w:tcW w:w="0" w:type="auto"/>
            <w:tcMar>
              <w:top w:w="0" w:type="dxa"/>
              <w:left w:w="108" w:type="dxa"/>
              <w:bottom w:w="0" w:type="dxa"/>
              <w:right w:w="108" w:type="dxa"/>
            </w:tcMar>
            <w:hideMark/>
          </w:tcPr>
          <w:p w14:paraId="58ED1100" w14:textId="0E932A51" w:rsidR="00141070" w:rsidRPr="00967C9B" w:rsidRDefault="006B4661" w:rsidP="00141070">
            <w:pPr>
              <w:spacing w:after="0" w:line="240" w:lineRule="auto"/>
              <w:rPr>
                <w:rFonts w:ascii="Calibri" w:eastAsia="Times New Roman" w:hAnsi="Calibri" w:cs="Calibri"/>
                <w:b/>
                <w:bCs/>
                <w:color w:val="000000"/>
                <w:sz w:val="20"/>
                <w:szCs w:val="20"/>
                <w:lang w:eastAsia="en-CA"/>
              </w:rPr>
            </w:pPr>
            <w:proofErr w:type="gramStart"/>
            <w:r w:rsidRPr="00967C9B">
              <w:rPr>
                <w:rFonts w:ascii="Calibri" w:eastAsia="Times New Roman" w:hAnsi="Calibri" w:cs="Calibri"/>
                <w:b/>
                <w:bCs/>
                <w:color w:val="000000"/>
                <w:sz w:val="20"/>
                <w:szCs w:val="20"/>
                <w:lang w:eastAsia="en-CA"/>
              </w:rPr>
              <w:t>304.224,oo</w:t>
            </w:r>
            <w:proofErr w:type="gramEnd"/>
          </w:p>
        </w:tc>
      </w:tr>
    </w:tbl>
    <w:p w14:paraId="108B6770" w14:textId="77777777" w:rsidR="00426EC2" w:rsidRPr="00967C9B" w:rsidRDefault="00426EC2" w:rsidP="00141070">
      <w:pPr>
        <w:spacing w:after="0" w:line="240" w:lineRule="auto"/>
        <w:rPr>
          <w:rFonts w:ascii="Calibri" w:eastAsia="Times New Roman" w:hAnsi="Calibri" w:cs="Calibri"/>
          <w:color w:val="000000"/>
          <w:lang w:eastAsia="en-CA"/>
        </w:rPr>
      </w:pPr>
    </w:p>
    <w:p w14:paraId="13373D15" w14:textId="15A4DB72" w:rsidR="00141070" w:rsidRPr="00967C9B" w:rsidDel="00B847BA" w:rsidRDefault="00D25A18" w:rsidP="00141070">
      <w:pPr>
        <w:spacing w:after="0" w:line="240" w:lineRule="auto"/>
        <w:rPr>
          <w:rFonts w:ascii="Times New Roman" w:eastAsia="Times New Roman" w:hAnsi="Times New Roman" w:cs="Times New Roman"/>
          <w:sz w:val="24"/>
          <w:szCs w:val="24"/>
          <w:lang w:eastAsia="en-CA"/>
        </w:rPr>
      </w:pPr>
      <w:r w:rsidRPr="00967C9B" w:rsidDel="00B847BA">
        <w:rPr>
          <w:rFonts w:ascii="Calibri" w:eastAsia="Times New Roman" w:hAnsi="Calibri" w:cs="Calibri"/>
          <w:color w:val="000000"/>
          <w:lang w:eastAsia="en-CA"/>
        </w:rPr>
        <w:t>Those</w:t>
      </w:r>
      <w:r w:rsidR="00141070" w:rsidRPr="00967C9B" w:rsidDel="00B847BA">
        <w:rPr>
          <w:rFonts w:ascii="Calibri" w:eastAsia="Times New Roman" w:hAnsi="Calibri" w:cs="Calibri"/>
          <w:color w:val="000000"/>
          <w:lang w:eastAsia="en-CA"/>
        </w:rPr>
        <w:t xml:space="preserve"> responsible for ensuring compliance with the activities of the gender equality plan </w:t>
      </w:r>
      <w:r w:rsidRPr="00967C9B" w:rsidDel="00B847BA">
        <w:rPr>
          <w:rFonts w:ascii="Calibri" w:eastAsia="Times New Roman" w:hAnsi="Calibri" w:cs="Calibri"/>
          <w:color w:val="000000"/>
          <w:lang w:eastAsia="en-CA"/>
        </w:rPr>
        <w:t>a</w:t>
      </w:r>
      <w:r w:rsidR="00141070" w:rsidRPr="00967C9B" w:rsidDel="00B847BA">
        <w:rPr>
          <w:rFonts w:ascii="Calibri" w:eastAsia="Times New Roman" w:hAnsi="Calibri" w:cs="Calibri"/>
          <w:color w:val="000000"/>
          <w:lang w:eastAsia="en-CA"/>
        </w:rPr>
        <w:t>t the highest level</w:t>
      </w:r>
      <w:r w:rsidRPr="00967C9B" w:rsidDel="00B847BA">
        <w:rPr>
          <w:rFonts w:ascii="Calibri" w:eastAsia="Times New Roman" w:hAnsi="Calibri" w:cs="Calibri"/>
          <w:color w:val="000000"/>
          <w:lang w:eastAsia="en-CA"/>
        </w:rPr>
        <w:t xml:space="preserve"> </w:t>
      </w:r>
      <w:r w:rsidR="00141070" w:rsidRPr="00967C9B" w:rsidDel="00B847BA">
        <w:rPr>
          <w:rFonts w:ascii="Calibri" w:eastAsia="Times New Roman" w:hAnsi="Calibri" w:cs="Calibri"/>
          <w:color w:val="000000"/>
          <w:lang w:eastAsia="en-CA"/>
        </w:rPr>
        <w:t>are the implementing partner, UNDP</w:t>
      </w:r>
      <w:r w:rsidRPr="00967C9B" w:rsidDel="00B847BA">
        <w:rPr>
          <w:rFonts w:ascii="Calibri" w:eastAsia="Times New Roman" w:hAnsi="Calibri" w:cs="Calibri"/>
          <w:color w:val="000000"/>
          <w:lang w:eastAsia="en-CA"/>
        </w:rPr>
        <w:t>,</w:t>
      </w:r>
      <w:r w:rsidR="00141070" w:rsidRPr="00967C9B" w:rsidDel="00B847BA">
        <w:rPr>
          <w:rFonts w:ascii="Calibri" w:eastAsia="Times New Roman" w:hAnsi="Calibri" w:cs="Calibri"/>
          <w:color w:val="000000"/>
          <w:lang w:eastAsia="en-CA"/>
        </w:rPr>
        <w:t xml:space="preserve"> and the executing partners of the project: Ministry of Environment and Sustainable Development </w:t>
      </w:r>
      <w:r w:rsidRPr="00967C9B" w:rsidDel="00B847BA">
        <w:rPr>
          <w:rFonts w:ascii="Calibri" w:eastAsia="Times New Roman" w:hAnsi="Calibri" w:cs="Calibri"/>
          <w:color w:val="000000"/>
          <w:lang w:eastAsia="en-CA"/>
        </w:rPr>
        <w:t>(</w:t>
      </w:r>
      <w:r w:rsidR="00141070" w:rsidRPr="00967C9B" w:rsidDel="00B847BA">
        <w:rPr>
          <w:rFonts w:ascii="Calibri" w:eastAsia="Times New Roman" w:hAnsi="Calibri" w:cs="Calibri"/>
          <w:color w:val="000000"/>
          <w:lang w:eastAsia="en-CA"/>
        </w:rPr>
        <w:t>MADS</w:t>
      </w:r>
      <w:r w:rsidRPr="00967C9B" w:rsidDel="00B847BA">
        <w:rPr>
          <w:rFonts w:ascii="Calibri" w:eastAsia="Times New Roman" w:hAnsi="Calibri" w:cs="Calibri"/>
          <w:color w:val="000000"/>
          <w:lang w:eastAsia="en-CA"/>
        </w:rPr>
        <w:t>)</w:t>
      </w:r>
      <w:r w:rsidR="00141070" w:rsidRPr="00967C9B" w:rsidDel="00B847BA">
        <w:rPr>
          <w:rFonts w:ascii="Calibri" w:eastAsia="Times New Roman" w:hAnsi="Calibri" w:cs="Calibri"/>
          <w:color w:val="000000"/>
          <w:lang w:eastAsia="en-CA"/>
        </w:rPr>
        <w:t xml:space="preserve"> and the National Water Secretariat. </w:t>
      </w:r>
    </w:p>
    <w:p w14:paraId="492F01BB" w14:textId="70837077" w:rsidR="00141070" w:rsidRPr="00967C9B" w:rsidDel="00B847BA" w:rsidRDefault="00141070" w:rsidP="00141070">
      <w:pPr>
        <w:spacing w:after="0" w:line="240" w:lineRule="auto"/>
        <w:rPr>
          <w:rFonts w:ascii="Times New Roman" w:eastAsia="Times New Roman" w:hAnsi="Times New Roman" w:cs="Times New Roman"/>
          <w:sz w:val="24"/>
          <w:szCs w:val="24"/>
          <w:lang w:eastAsia="en-CA"/>
        </w:rPr>
      </w:pPr>
    </w:p>
    <w:p w14:paraId="1101D726" w14:textId="7313BFBB" w:rsidR="009204F3" w:rsidRPr="00967C9B" w:rsidRDefault="00141070" w:rsidP="00141070">
      <w:pPr>
        <w:spacing w:after="0" w:line="240" w:lineRule="auto"/>
        <w:rPr>
          <w:rFonts w:ascii="Times New Roman" w:eastAsia="Times New Roman" w:hAnsi="Times New Roman" w:cs="Times New Roman"/>
          <w:sz w:val="24"/>
          <w:szCs w:val="24"/>
          <w:lang w:eastAsia="en-CA"/>
        </w:rPr>
      </w:pPr>
      <w:r w:rsidRPr="00967C9B" w:rsidDel="00B847BA">
        <w:rPr>
          <w:rFonts w:ascii="Calibri" w:eastAsia="Times New Roman" w:hAnsi="Calibri" w:cs="Calibri"/>
          <w:color w:val="000000"/>
          <w:lang w:eastAsia="en-CA"/>
        </w:rPr>
        <w:t>Those responsible for the execution of the plan are</w:t>
      </w:r>
      <w:r w:rsidR="00D25A18" w:rsidRPr="00967C9B" w:rsidDel="00B847BA">
        <w:rPr>
          <w:rFonts w:ascii="Calibri" w:eastAsia="Times New Roman" w:hAnsi="Calibri" w:cs="Calibri"/>
          <w:color w:val="000000"/>
          <w:lang w:eastAsia="en-CA"/>
        </w:rPr>
        <w:t>,</w:t>
      </w:r>
      <w:r w:rsidR="009204F3" w:rsidRPr="00967C9B">
        <w:rPr>
          <w:rFonts w:ascii="Calibri" w:eastAsia="Times New Roman" w:hAnsi="Calibri" w:cs="Calibri"/>
          <w:color w:val="000000"/>
          <w:lang w:eastAsia="en-CA"/>
        </w:rPr>
        <w:t xml:space="preserve"> on the one hand, the b</w:t>
      </w:r>
      <w:r w:rsidRPr="00967C9B" w:rsidDel="00B847BA">
        <w:rPr>
          <w:rFonts w:ascii="Calibri" w:eastAsia="Times New Roman" w:hAnsi="Calibri" w:cs="Calibri"/>
          <w:color w:val="000000"/>
          <w:lang w:eastAsia="en-CA"/>
        </w:rPr>
        <w:t xml:space="preserve">inational Coordinator in </w:t>
      </w:r>
      <w:r w:rsidR="004B65ED" w:rsidRPr="00967C9B" w:rsidDel="00B847BA">
        <w:rPr>
          <w:rFonts w:ascii="Calibri" w:eastAsia="Times New Roman" w:hAnsi="Calibri" w:cs="Calibri"/>
          <w:color w:val="000000"/>
          <w:lang w:eastAsia="en-CA"/>
        </w:rPr>
        <w:t xml:space="preserve">their </w:t>
      </w:r>
      <w:r w:rsidRPr="00967C9B" w:rsidDel="00B847BA">
        <w:rPr>
          <w:rFonts w:ascii="Calibri" w:eastAsia="Times New Roman" w:hAnsi="Calibri" w:cs="Calibri"/>
          <w:color w:val="000000"/>
          <w:lang w:eastAsia="en-CA"/>
        </w:rPr>
        <w:t xml:space="preserve">capacity as project coordinator and, on the other, the Gender, Participation and Intercultural Specialist (EGP) of the project team, guaranteeing </w:t>
      </w:r>
      <w:r w:rsidR="00F4243F" w:rsidRPr="00967C9B" w:rsidDel="00B847BA">
        <w:rPr>
          <w:rFonts w:ascii="Calibri" w:eastAsia="Times New Roman" w:hAnsi="Calibri" w:cs="Calibri"/>
          <w:color w:val="000000"/>
          <w:lang w:eastAsia="en-CA"/>
        </w:rPr>
        <w:t>the execution of the activities</w:t>
      </w:r>
      <w:r w:rsidRPr="00967C9B" w:rsidDel="00B847BA">
        <w:rPr>
          <w:rFonts w:ascii="Calibri" w:eastAsia="Times New Roman" w:hAnsi="Calibri" w:cs="Calibri"/>
          <w:color w:val="000000"/>
          <w:lang w:eastAsia="en-CA"/>
        </w:rPr>
        <w:t>.</w:t>
      </w:r>
    </w:p>
    <w:p w14:paraId="0149AEFA" w14:textId="1125896F" w:rsidR="00141070" w:rsidRPr="00967C9B" w:rsidRDefault="002F77DB" w:rsidP="007670CF">
      <w:pPr>
        <w:pStyle w:val="Heading1"/>
        <w:rPr>
          <w:rFonts w:asciiTheme="minorHAnsi" w:hAnsiTheme="minorHAnsi"/>
          <w:sz w:val="24"/>
          <w:szCs w:val="24"/>
        </w:rPr>
      </w:pPr>
      <w:bookmarkStart w:id="69" w:name="_Toc8644449"/>
      <w:bookmarkStart w:id="70" w:name="_Toc8644551"/>
      <w:r w:rsidRPr="00967C9B">
        <w:rPr>
          <w:rFonts w:asciiTheme="minorHAnsi" w:hAnsiTheme="minorHAnsi"/>
          <w:sz w:val="24"/>
          <w:szCs w:val="24"/>
        </w:rPr>
        <w:t>8</w:t>
      </w:r>
      <w:r w:rsidR="00141070" w:rsidRPr="00967C9B">
        <w:rPr>
          <w:rFonts w:asciiTheme="minorHAnsi" w:hAnsiTheme="minorHAnsi"/>
          <w:sz w:val="24"/>
          <w:szCs w:val="24"/>
        </w:rPr>
        <w:t>) Grievance Mechanism</w:t>
      </w:r>
      <w:bookmarkEnd w:id="69"/>
      <w:bookmarkEnd w:id="70"/>
    </w:p>
    <w:p w14:paraId="02CA4D6B" w14:textId="4B090F47" w:rsidR="00141070" w:rsidRPr="00967C9B" w:rsidRDefault="00B23C73"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w:t>
      </w:r>
      <w:r w:rsidR="00141070" w:rsidRPr="00967C9B">
        <w:rPr>
          <w:rFonts w:ascii="Calibri" w:eastAsia="Times New Roman" w:hAnsi="Calibri" w:cs="Calibri"/>
          <w:color w:val="000000"/>
          <w:lang w:eastAsia="en-CA"/>
        </w:rPr>
        <w:t>n accordance with the</w:t>
      </w:r>
      <w:r w:rsidRPr="00967C9B">
        <w:rPr>
          <w:rFonts w:ascii="Calibri" w:eastAsia="Times New Roman" w:hAnsi="Calibri" w:cs="Calibri"/>
          <w:color w:val="000000"/>
          <w:lang w:eastAsia="en-CA"/>
        </w:rPr>
        <w:t xml:space="preserve"> UNDP </w:t>
      </w:r>
      <w:r w:rsidR="00141070" w:rsidRPr="00967C9B">
        <w:rPr>
          <w:rFonts w:ascii="Calibri" w:eastAsia="Times New Roman" w:hAnsi="Calibri" w:cs="Calibri"/>
          <w:color w:val="000000"/>
          <w:lang w:eastAsia="en-CA"/>
        </w:rPr>
        <w:t>Social and Environmenta</w:t>
      </w:r>
      <w:r w:rsidR="00F4243F" w:rsidRPr="00967C9B">
        <w:rPr>
          <w:rFonts w:ascii="Calibri" w:eastAsia="Times New Roman" w:hAnsi="Calibri" w:cs="Calibri"/>
          <w:color w:val="000000"/>
          <w:lang w:eastAsia="en-CA"/>
        </w:rPr>
        <w:t>l Policies and Safeguards (SES)</w:t>
      </w:r>
      <w:r w:rsidR="005A0AFF" w:rsidRPr="00967C9B">
        <w:rPr>
          <w:rStyle w:val="FootnoteReference"/>
          <w:rFonts w:ascii="Calibri" w:eastAsia="Times New Roman" w:hAnsi="Calibri" w:cs="Calibri"/>
          <w:color w:val="000000"/>
          <w:lang w:eastAsia="en-CA"/>
        </w:rPr>
        <w:footnoteReference w:id="26"/>
      </w:r>
      <w:r w:rsidR="00141070" w:rsidRPr="00967C9B">
        <w:rPr>
          <w:rFonts w:ascii="Calibri" w:eastAsia="Times New Roman" w:hAnsi="Calibri" w:cs="Calibri"/>
          <w:color w:val="000000"/>
          <w:lang w:eastAsia="en-CA"/>
        </w:rPr>
        <w:t>, a stakeholder response mechanism or a complaint response mechanism</w:t>
      </w:r>
      <w:r w:rsidRPr="00967C9B">
        <w:rPr>
          <w:rFonts w:ascii="Calibri" w:eastAsia="Times New Roman" w:hAnsi="Calibri" w:cs="Calibri"/>
          <w:color w:val="000000"/>
          <w:lang w:eastAsia="en-CA"/>
        </w:rPr>
        <w:t xml:space="preserve"> has been integrated within this plan t</w:t>
      </w:r>
      <w:r w:rsidR="00141070" w:rsidRPr="00967C9B">
        <w:rPr>
          <w:rFonts w:ascii="Calibri" w:eastAsia="Times New Roman" w:hAnsi="Calibri" w:cs="Calibri"/>
          <w:color w:val="000000"/>
          <w:lang w:eastAsia="en-CA"/>
        </w:rPr>
        <w:t xml:space="preserve">o ensure that </w:t>
      </w:r>
      <w:r w:rsidRPr="00967C9B">
        <w:rPr>
          <w:rFonts w:ascii="Calibri" w:eastAsia="Times New Roman" w:hAnsi="Calibri" w:cs="Calibri"/>
          <w:color w:val="000000"/>
          <w:lang w:eastAsia="en-CA"/>
        </w:rPr>
        <w:t>i</w:t>
      </w:r>
      <w:r w:rsidR="00141070" w:rsidRPr="00967C9B">
        <w:rPr>
          <w:rFonts w:ascii="Calibri" w:eastAsia="Times New Roman" w:hAnsi="Calibri" w:cs="Calibri"/>
          <w:color w:val="000000"/>
          <w:lang w:eastAsia="en-CA"/>
        </w:rPr>
        <w:t>ndividuals, indigenous peoples and communities affected by the projects have access to adequate grievance resolution procedures to hear and address complaints and disputes related to the project.</w:t>
      </w:r>
    </w:p>
    <w:p w14:paraId="2608B5E0"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p w14:paraId="5716A40F" w14:textId="68161B3F" w:rsidR="00594B84"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 this sense</w:t>
      </w:r>
      <w:r w:rsidR="00B23C73"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and according to the UNDP Stakeholders Response Mechanism</w:t>
      </w:r>
      <w:r w:rsidR="005A0AFF" w:rsidRPr="00967C9B">
        <w:rPr>
          <w:rStyle w:val="FootnoteReference"/>
          <w:rFonts w:ascii="Calibri" w:eastAsia="Times New Roman" w:hAnsi="Calibri" w:cs="Calibri"/>
          <w:color w:val="000000"/>
          <w:lang w:eastAsia="en-CA"/>
        </w:rPr>
        <w:footnoteReference w:id="27"/>
      </w:r>
      <w:r w:rsidRPr="00967C9B">
        <w:rPr>
          <w:rFonts w:ascii="Calibri" w:eastAsia="Times New Roman" w:hAnsi="Calibri" w:cs="Calibri"/>
          <w:color w:val="000000"/>
          <w:lang w:eastAsia="en-CA"/>
        </w:rPr>
        <w:t>,</w:t>
      </w:r>
      <w:r w:rsidR="00B23C73"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a "</w:t>
      </w:r>
      <w:r w:rsidRPr="00967C9B">
        <w:rPr>
          <w:rFonts w:ascii="Calibri" w:eastAsia="Times New Roman" w:hAnsi="Calibri" w:cs="Calibri"/>
          <w:i/>
          <w:color w:val="000000"/>
          <w:lang w:eastAsia="en-CA"/>
        </w:rPr>
        <w:t>complaint response mechanism designed with the objective of complementing the proactive participation of the project's stakeholders and implementing partners throughout the project has been generated. This effective participation of local actors creates opportunities to solve problems that would otherwise lead to conflict. If they are not resolved, important problems can resurface, creating conflicts that delay a project, increase costs and, sometimes, stop the project</w:t>
      </w:r>
      <w:r w:rsidRPr="00967C9B">
        <w:rPr>
          <w:rFonts w:ascii="Calibri" w:eastAsia="Times New Roman" w:hAnsi="Calibri" w:cs="Calibri"/>
          <w:color w:val="000000"/>
          <w:lang w:eastAsia="en-CA"/>
        </w:rPr>
        <w:t xml:space="preserve">." </w:t>
      </w:r>
    </w:p>
    <w:p w14:paraId="23F862AD" w14:textId="1BB3227A" w:rsidR="005A0AFF" w:rsidRPr="00967C9B" w:rsidRDefault="00594B84" w:rsidP="00DD3961">
      <w:pPr>
        <w:spacing w:after="0" w:line="240" w:lineRule="auto"/>
        <w:jc w:val="both"/>
        <w:rPr>
          <w:rFonts w:ascii="Calibri" w:eastAsia="Times New Roman" w:hAnsi="Calibri" w:cs="Calibri"/>
          <w:color w:val="000000"/>
          <w:lang w:eastAsia="en-CA"/>
        </w:rPr>
      </w:pPr>
      <w:r w:rsidRPr="00967C9B">
        <w:rPr>
          <w:rFonts w:ascii="Times New Roman" w:eastAsia="Times New Roman" w:hAnsi="Times New Roman" w:cs="Times New Roman"/>
          <w:sz w:val="24"/>
          <w:szCs w:val="24"/>
          <w:lang w:eastAsia="en-CA"/>
        </w:rPr>
        <w:br/>
      </w:r>
      <w:r w:rsidR="00141070" w:rsidRPr="00967C9B">
        <w:rPr>
          <w:rFonts w:ascii="Calibri" w:eastAsia="Times New Roman" w:hAnsi="Calibri" w:cs="Calibri"/>
          <w:color w:val="000000"/>
          <w:lang w:eastAsia="en-CA"/>
        </w:rPr>
        <w:t>In this context, any person or group of people who believe that they are negatively affected by the project, or at risk of adverse impacts, can file a claim</w:t>
      </w:r>
      <w:r w:rsidR="005A0AFF" w:rsidRPr="00967C9B">
        <w:rPr>
          <w:rFonts w:ascii="Calibri" w:eastAsia="Times New Roman" w:hAnsi="Calibri" w:cs="Calibri"/>
          <w:color w:val="000000"/>
          <w:lang w:eastAsia="en-CA"/>
        </w:rPr>
        <w:t>.</w:t>
      </w:r>
      <w:r w:rsidR="005A0AFF" w:rsidRPr="00967C9B">
        <w:rPr>
          <w:rStyle w:val="FootnoteReference"/>
          <w:rFonts w:ascii="Calibri" w:eastAsia="Times New Roman" w:hAnsi="Calibri" w:cs="Calibri"/>
          <w:color w:val="000000"/>
          <w:lang w:eastAsia="en-CA"/>
        </w:rPr>
        <w:footnoteReference w:id="28"/>
      </w:r>
    </w:p>
    <w:p w14:paraId="72FAD465" w14:textId="77777777" w:rsidR="005A0AFF" w:rsidRPr="00967C9B" w:rsidRDefault="005A0AFF" w:rsidP="00DD3961">
      <w:pPr>
        <w:spacing w:after="0" w:line="240" w:lineRule="auto"/>
        <w:jc w:val="both"/>
        <w:rPr>
          <w:rFonts w:ascii="Calibri" w:eastAsia="Times New Roman" w:hAnsi="Calibri" w:cs="Calibri"/>
          <w:color w:val="000000"/>
          <w:lang w:eastAsia="en-CA"/>
        </w:rPr>
      </w:pPr>
    </w:p>
    <w:p w14:paraId="212AA649" w14:textId="7A77177D" w:rsidR="00141070" w:rsidRPr="00967C9B" w:rsidRDefault="00141070" w:rsidP="00DD3961">
      <w:pPr>
        <w:spacing w:after="0" w:line="240" w:lineRule="auto"/>
        <w:jc w:val="both"/>
        <w:rPr>
          <w:rFonts w:ascii="Calibri" w:eastAsia="Times New Roman" w:hAnsi="Calibri" w:cs="Calibri"/>
          <w:color w:val="000000"/>
          <w:lang w:eastAsia="en-CA"/>
        </w:rPr>
      </w:pPr>
      <w:r w:rsidRPr="00967C9B">
        <w:rPr>
          <w:rFonts w:ascii="Calibri" w:eastAsia="Times New Roman" w:hAnsi="Calibri" w:cs="Calibri"/>
          <w:color w:val="000000"/>
          <w:lang w:eastAsia="en-CA"/>
        </w:rPr>
        <w:t>It is also worth mentioning that complaints or claims</w:t>
      </w:r>
      <w:r w:rsidR="004B65ED" w:rsidRPr="00967C9B">
        <w:rPr>
          <w:rFonts w:ascii="Calibri" w:eastAsia="Times New Roman" w:hAnsi="Calibri" w:cs="Calibri"/>
          <w:color w:val="000000"/>
          <w:lang w:eastAsia="en-CA"/>
        </w:rPr>
        <w:t xml:space="preserve"> can be received</w:t>
      </w:r>
      <w:r w:rsidRPr="00967C9B">
        <w:rPr>
          <w:rFonts w:ascii="Calibri" w:eastAsia="Times New Roman" w:hAnsi="Calibri" w:cs="Calibri"/>
          <w:color w:val="000000"/>
          <w:lang w:eastAsia="en-CA"/>
        </w:rPr>
        <w:t xml:space="preserve"> that are not necessarily within the competence of the project, the partners or the UNDP and GEF agencies. Therefore, a mechanism has been designed that integrates various levels for the reception, evaluation and management of solutions on the claims or complaints that arise and that fall within the scope of the project.</w:t>
      </w:r>
      <w:r w:rsidR="00594B84" w:rsidRPr="00967C9B">
        <w:rPr>
          <w:rFonts w:ascii="Times New Roman" w:eastAsia="Times New Roman" w:hAnsi="Times New Roman" w:cs="Times New Roman"/>
          <w:sz w:val="24"/>
          <w:szCs w:val="24"/>
          <w:lang w:eastAsia="en-CA"/>
        </w:rPr>
        <w:br/>
      </w:r>
    </w:p>
    <w:p w14:paraId="7C3A13B6"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Levels of reception and claim repair</w:t>
      </w:r>
    </w:p>
    <w:p w14:paraId="5B131B1C" w14:textId="430B520F"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 procedure is composed of four levels (See: Table Levels of c</w:t>
      </w:r>
      <w:r w:rsidR="000945A8" w:rsidRPr="00967C9B">
        <w:rPr>
          <w:rFonts w:ascii="Calibri" w:eastAsia="Times New Roman" w:hAnsi="Calibri" w:cs="Calibri"/>
          <w:color w:val="000000"/>
          <w:lang w:eastAsia="en-CA"/>
        </w:rPr>
        <w:t>omplaints</w:t>
      </w:r>
      <w:r w:rsidRPr="00967C9B">
        <w:rPr>
          <w:rFonts w:ascii="Calibri" w:eastAsia="Times New Roman" w:hAnsi="Calibri" w:cs="Calibri"/>
          <w:color w:val="000000"/>
          <w:lang w:eastAsia="en-CA"/>
        </w:rPr>
        <w:t>), which must resolve those claims that are presented</w:t>
      </w:r>
      <w:r w:rsidR="00594B84"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w:t>
      </w:r>
      <w:r w:rsidR="00594B84"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ccording to the difficulty or complexity of solution or repair</w:t>
      </w:r>
      <w:r w:rsidR="00594B84" w:rsidRPr="00967C9B">
        <w:rPr>
          <w:rFonts w:ascii="Calibri" w:eastAsia="Times New Roman" w:hAnsi="Calibri" w:cs="Calibri"/>
          <w:color w:val="000000"/>
          <w:lang w:eastAsia="en-CA"/>
        </w:rPr>
        <w:t xml:space="preserve">, it is passed </w:t>
      </w:r>
      <w:r w:rsidRPr="00967C9B">
        <w:rPr>
          <w:rFonts w:ascii="Calibri" w:eastAsia="Times New Roman" w:hAnsi="Calibri" w:cs="Calibri"/>
          <w:color w:val="000000"/>
          <w:lang w:eastAsia="en-CA"/>
        </w:rPr>
        <w:t xml:space="preserve">to the next </w:t>
      </w:r>
      <w:r w:rsidR="00CA7139" w:rsidRPr="00967C9B">
        <w:rPr>
          <w:rFonts w:ascii="Calibri" w:eastAsia="Times New Roman" w:hAnsi="Calibri" w:cs="Calibri"/>
          <w:color w:val="000000"/>
          <w:lang w:eastAsia="en-CA"/>
        </w:rPr>
        <w:t>decision-making</w:t>
      </w:r>
      <w:r w:rsidRPr="00967C9B">
        <w:rPr>
          <w:rFonts w:ascii="Calibri" w:eastAsia="Times New Roman" w:hAnsi="Calibri" w:cs="Calibri"/>
          <w:color w:val="000000"/>
          <w:lang w:eastAsia="en-CA"/>
        </w:rPr>
        <w:t xml:space="preserve"> scale of the project until it reaches the Board of Directors. The following table summarizes the levels of reception and procedures:</w:t>
      </w:r>
    </w:p>
    <w:p w14:paraId="66D327DC" w14:textId="77777777" w:rsidR="007670CF" w:rsidRPr="00967C9B" w:rsidRDefault="007670CF" w:rsidP="00141070">
      <w:pPr>
        <w:spacing w:after="240" w:line="240" w:lineRule="auto"/>
        <w:rPr>
          <w:rFonts w:ascii="Times New Roman" w:eastAsia="Times New Roman" w:hAnsi="Times New Roman" w:cs="Times New Roman"/>
          <w:sz w:val="24"/>
          <w:szCs w:val="24"/>
          <w:lang w:eastAsia="en-CA"/>
        </w:rPr>
      </w:pPr>
    </w:p>
    <w:p w14:paraId="08836088" w14:textId="77777777" w:rsidR="009204F3" w:rsidRPr="00967C9B" w:rsidRDefault="009204F3" w:rsidP="00141070">
      <w:pPr>
        <w:spacing w:after="240" w:line="240" w:lineRule="auto"/>
        <w:rPr>
          <w:rFonts w:ascii="Times New Roman" w:eastAsia="Times New Roman" w:hAnsi="Times New Roman" w:cs="Times New Roman"/>
          <w:sz w:val="24"/>
          <w:szCs w:val="24"/>
          <w:lang w:eastAsia="en-CA"/>
        </w:rPr>
      </w:pPr>
    </w:p>
    <w:p w14:paraId="331AEDB1" w14:textId="77777777" w:rsidR="009204F3" w:rsidRPr="00967C9B" w:rsidRDefault="009204F3" w:rsidP="00141070">
      <w:pPr>
        <w:spacing w:after="240" w:line="240" w:lineRule="auto"/>
        <w:rPr>
          <w:rFonts w:ascii="Times New Roman" w:eastAsia="Times New Roman" w:hAnsi="Times New Roman" w:cs="Times New Roman"/>
          <w:sz w:val="24"/>
          <w:szCs w:val="24"/>
          <w:lang w:eastAsia="en-CA"/>
        </w:rPr>
      </w:pPr>
    </w:p>
    <w:p w14:paraId="2B1D6031" w14:textId="57AF6B88" w:rsidR="009204F3" w:rsidRDefault="009204F3" w:rsidP="00141070">
      <w:pPr>
        <w:spacing w:after="240" w:line="240" w:lineRule="auto"/>
        <w:rPr>
          <w:rFonts w:ascii="Times New Roman" w:eastAsia="Times New Roman" w:hAnsi="Times New Roman" w:cs="Times New Roman"/>
          <w:sz w:val="24"/>
          <w:szCs w:val="24"/>
          <w:lang w:eastAsia="en-CA"/>
        </w:rPr>
      </w:pPr>
    </w:p>
    <w:p w14:paraId="7FBD3152" w14:textId="181A0CBB" w:rsidR="00DD3961" w:rsidRDefault="00DD3961" w:rsidP="00141070">
      <w:pPr>
        <w:spacing w:after="240" w:line="240" w:lineRule="auto"/>
        <w:rPr>
          <w:rFonts w:ascii="Times New Roman" w:eastAsia="Times New Roman" w:hAnsi="Times New Roman" w:cs="Times New Roman"/>
          <w:sz w:val="24"/>
          <w:szCs w:val="24"/>
          <w:lang w:eastAsia="en-CA"/>
        </w:rPr>
      </w:pPr>
    </w:p>
    <w:p w14:paraId="3A6711D0" w14:textId="1F233507" w:rsidR="00DD3961" w:rsidRDefault="00DD3961" w:rsidP="00141070">
      <w:pPr>
        <w:spacing w:after="240" w:line="240" w:lineRule="auto"/>
        <w:rPr>
          <w:rFonts w:ascii="Times New Roman" w:eastAsia="Times New Roman" w:hAnsi="Times New Roman" w:cs="Times New Roman"/>
          <w:sz w:val="24"/>
          <w:szCs w:val="24"/>
          <w:lang w:eastAsia="en-CA"/>
        </w:rPr>
      </w:pPr>
    </w:p>
    <w:p w14:paraId="24B60691" w14:textId="7626A4EA" w:rsidR="00DD3961" w:rsidRDefault="00DD3961" w:rsidP="00141070">
      <w:pPr>
        <w:spacing w:after="240" w:line="240" w:lineRule="auto"/>
        <w:rPr>
          <w:rFonts w:ascii="Times New Roman" w:eastAsia="Times New Roman" w:hAnsi="Times New Roman" w:cs="Times New Roman"/>
          <w:sz w:val="24"/>
          <w:szCs w:val="24"/>
          <w:lang w:eastAsia="en-CA"/>
        </w:rPr>
      </w:pPr>
    </w:p>
    <w:p w14:paraId="4391A6B5" w14:textId="45B557C7" w:rsidR="00DD3961" w:rsidRDefault="00DD3961" w:rsidP="00141070">
      <w:pPr>
        <w:spacing w:after="240" w:line="240" w:lineRule="auto"/>
        <w:rPr>
          <w:rFonts w:ascii="Times New Roman" w:eastAsia="Times New Roman" w:hAnsi="Times New Roman" w:cs="Times New Roman"/>
          <w:sz w:val="24"/>
          <w:szCs w:val="24"/>
          <w:lang w:eastAsia="en-CA"/>
        </w:rPr>
      </w:pPr>
    </w:p>
    <w:p w14:paraId="58F547F4" w14:textId="77777777" w:rsidR="00DD3961" w:rsidRPr="00967C9B" w:rsidRDefault="00DD3961" w:rsidP="00141070">
      <w:pPr>
        <w:spacing w:after="240" w:line="240" w:lineRule="auto"/>
        <w:rPr>
          <w:rFonts w:ascii="Times New Roman" w:eastAsia="Times New Roman" w:hAnsi="Times New Roman" w:cs="Times New Roman"/>
          <w:sz w:val="24"/>
          <w:szCs w:val="24"/>
          <w:lang w:eastAsia="en-CA"/>
        </w:rPr>
      </w:pPr>
    </w:p>
    <w:p w14:paraId="20FFF6D1" w14:textId="77777777" w:rsidR="009204F3" w:rsidRPr="00967C9B" w:rsidRDefault="009204F3" w:rsidP="00141070">
      <w:pPr>
        <w:spacing w:after="240" w:line="240" w:lineRule="auto"/>
        <w:rPr>
          <w:rFonts w:ascii="Times New Roman" w:eastAsia="Times New Roman" w:hAnsi="Times New Roman" w:cs="Times New Roman"/>
          <w:sz w:val="24"/>
          <w:szCs w:val="24"/>
          <w:lang w:eastAsia="en-CA"/>
        </w:rPr>
      </w:pPr>
    </w:p>
    <w:p w14:paraId="16AC808D" w14:textId="77777777" w:rsidR="009204F3" w:rsidRPr="00967C9B" w:rsidRDefault="009204F3" w:rsidP="00141070">
      <w:pPr>
        <w:spacing w:after="240" w:line="240" w:lineRule="auto"/>
        <w:rPr>
          <w:rFonts w:ascii="Times New Roman" w:eastAsia="Times New Roman" w:hAnsi="Times New Roman" w:cs="Times New Roman"/>
          <w:sz w:val="24"/>
          <w:szCs w:val="24"/>
          <w:lang w:eastAsia="en-CA"/>
        </w:rPr>
      </w:pPr>
    </w:p>
    <w:p w14:paraId="72CC65C7" w14:textId="77777777" w:rsidR="009204F3" w:rsidRPr="00967C9B" w:rsidRDefault="009204F3" w:rsidP="00141070">
      <w:pPr>
        <w:spacing w:after="240" w:line="240" w:lineRule="auto"/>
        <w:rPr>
          <w:rFonts w:ascii="Times New Roman" w:eastAsia="Times New Roman" w:hAnsi="Times New Roman" w:cs="Times New Roman"/>
          <w:sz w:val="24"/>
          <w:szCs w:val="24"/>
          <w:lang w:eastAsia="en-CA"/>
        </w:rPr>
      </w:pPr>
    </w:p>
    <w:p w14:paraId="26698B37" w14:textId="77777777" w:rsidR="009204F3" w:rsidRPr="00967C9B" w:rsidRDefault="009204F3" w:rsidP="00141070">
      <w:pPr>
        <w:spacing w:after="240" w:line="240" w:lineRule="auto"/>
        <w:rPr>
          <w:rFonts w:ascii="Times New Roman" w:eastAsia="Times New Roman" w:hAnsi="Times New Roman" w:cs="Times New Roman"/>
          <w:sz w:val="24"/>
          <w:szCs w:val="24"/>
          <w:lang w:eastAsia="en-CA"/>
        </w:rPr>
      </w:pPr>
    </w:p>
    <w:tbl>
      <w:tblPr>
        <w:tblW w:w="0" w:type="auto"/>
        <w:tblCellMar>
          <w:top w:w="15" w:type="dxa"/>
          <w:left w:w="15" w:type="dxa"/>
          <w:bottom w:w="15" w:type="dxa"/>
          <w:right w:w="15" w:type="dxa"/>
        </w:tblCellMar>
        <w:tblLook w:val="04A0" w:firstRow="1" w:lastRow="0" w:firstColumn="1" w:lastColumn="0" w:noHBand="0" w:noVBand="1"/>
      </w:tblPr>
      <w:tblGrid>
        <w:gridCol w:w="8714"/>
      </w:tblGrid>
      <w:tr w:rsidR="00141070" w:rsidRPr="00967C9B" w14:paraId="6ACBDDFA" w14:textId="77777777" w:rsidTr="00141070">
        <w:tc>
          <w:tcPr>
            <w:tcW w:w="0" w:type="auto"/>
            <w:tcMar>
              <w:top w:w="0" w:type="dxa"/>
              <w:left w:w="108" w:type="dxa"/>
              <w:bottom w:w="0" w:type="dxa"/>
              <w:right w:w="108" w:type="dxa"/>
            </w:tcMar>
            <w:hideMark/>
          </w:tcPr>
          <w:p w14:paraId="3DB028D3"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r w:rsidRPr="00967C9B">
              <w:rPr>
                <w:rFonts w:ascii="Calibri" w:eastAsia="Times New Roman" w:hAnsi="Calibri" w:cs="Calibri"/>
                <w:b/>
                <w:bCs/>
                <w:i/>
                <w:iCs/>
                <w:color w:val="000000"/>
                <w:lang w:eastAsia="en-CA"/>
              </w:rPr>
              <w:t>Table 1. Levels of complaint</w:t>
            </w:r>
          </w:p>
          <w:p w14:paraId="2A1B0CEE"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tc>
      </w:tr>
      <w:tr w:rsidR="00141070" w:rsidRPr="00967C9B" w14:paraId="346CAFCC" w14:textId="77777777" w:rsidTr="00141070">
        <w:tc>
          <w:tcPr>
            <w:tcW w:w="0" w:type="auto"/>
            <w:tcMar>
              <w:top w:w="0" w:type="dxa"/>
              <w:left w:w="108" w:type="dxa"/>
              <w:bottom w:w="0" w:type="dxa"/>
              <w:right w:w="108" w:type="dxa"/>
            </w:tcMar>
            <w:hideMark/>
          </w:tcPr>
          <w:p w14:paraId="2A0F9FA8" w14:textId="42EB4BF2" w:rsidR="00141070" w:rsidRPr="00967C9B" w:rsidRDefault="00594B84" w:rsidP="00141070">
            <w:pPr>
              <w:spacing w:after="0" w:line="240" w:lineRule="auto"/>
              <w:rPr>
                <w:rFonts w:ascii="Times New Roman" w:eastAsia="Times New Roman" w:hAnsi="Times New Roman" w:cs="Times New Roman"/>
                <w:sz w:val="24"/>
                <w:szCs w:val="24"/>
                <w:lang w:eastAsia="en-CA"/>
              </w:rPr>
            </w:pPr>
            <w:r w:rsidRPr="00967C9B">
              <w:rPr>
                <w:rFonts w:asciiTheme="majorHAnsi" w:hAnsiTheme="majorHAnsi"/>
                <w:noProof/>
                <w:lang w:eastAsia="es-ES"/>
              </w:rPr>
              <w:drawing>
                <wp:inline distT="0" distB="0" distL="0" distR="0" wp14:anchorId="57CD66CB" wp14:editId="4AB4618C">
                  <wp:extent cx="5396230" cy="3147695"/>
                  <wp:effectExtent l="0" t="0" r="0" b="52705"/>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tc>
      </w:tr>
    </w:tbl>
    <w:p w14:paraId="48A0EEB0" w14:textId="77777777" w:rsidR="00141070" w:rsidRPr="00967C9B" w:rsidRDefault="00141070" w:rsidP="00141070">
      <w:pPr>
        <w:spacing w:after="0" w:line="240" w:lineRule="auto"/>
        <w:rPr>
          <w:rFonts w:ascii="Times New Roman" w:eastAsia="Times New Roman" w:hAnsi="Times New Roman" w:cs="Times New Roman"/>
          <w:sz w:val="24"/>
          <w:szCs w:val="24"/>
          <w:lang w:eastAsia="en-CA"/>
        </w:rPr>
      </w:pPr>
    </w:p>
    <w:p w14:paraId="60F1BE03"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 following is detailed in each of the levels:</w:t>
      </w:r>
    </w:p>
    <w:p w14:paraId="35135E65"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4319125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1st level: reception of the claims</w:t>
      </w:r>
      <w:r w:rsidRPr="00967C9B">
        <w:rPr>
          <w:rFonts w:ascii="Calibri" w:eastAsia="Times New Roman" w:hAnsi="Calibri" w:cs="Calibri"/>
          <w:color w:val="000000"/>
          <w:lang w:eastAsia="en-CA"/>
        </w:rPr>
        <w:t>: The difficulties or claims must be presented through two channels:</w:t>
      </w:r>
    </w:p>
    <w:p w14:paraId="33E1A903"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731DB945" w14:textId="51B25883"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A) Through the</w:t>
      </w:r>
      <w:r w:rsidR="00F4243F" w:rsidRPr="00967C9B">
        <w:rPr>
          <w:rFonts w:ascii="Calibri" w:eastAsia="Times New Roman" w:hAnsi="Calibri" w:cs="Calibri"/>
          <w:color w:val="000000"/>
          <w:lang w:eastAsia="en-CA"/>
        </w:rPr>
        <w:t xml:space="preserve"> </w:t>
      </w:r>
      <w:r w:rsidR="00F4243F" w:rsidRPr="00967C9B">
        <w:rPr>
          <w:b/>
        </w:rPr>
        <w:t>Community workers</w:t>
      </w:r>
      <w:r w:rsidRPr="00967C9B">
        <w:rPr>
          <w:rFonts w:ascii="Calibri" w:eastAsia="Times New Roman" w:hAnsi="Calibri" w:cs="Calibri"/>
          <w:color w:val="000000"/>
          <w:lang w:eastAsia="en-CA"/>
        </w:rPr>
        <w:t xml:space="preserve"> (in written form). </w:t>
      </w:r>
    </w:p>
    <w:p w14:paraId="56597C75" w14:textId="77777777" w:rsidR="00141070" w:rsidRPr="00967C9B" w:rsidRDefault="00141070" w:rsidP="00DD3961">
      <w:pPr>
        <w:numPr>
          <w:ilvl w:val="0"/>
          <w:numId w:val="8"/>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It will be a function of the local facilitators, acting as a key point of contact to receive the concerns and / or claims of the project. </w:t>
      </w:r>
    </w:p>
    <w:p w14:paraId="42088007" w14:textId="7D8DA8CE" w:rsidR="00141070" w:rsidRPr="00967C9B" w:rsidRDefault="00141070" w:rsidP="00DD3961">
      <w:pPr>
        <w:numPr>
          <w:ilvl w:val="0"/>
          <w:numId w:val="8"/>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Claims must be made in writing</w:t>
      </w:r>
      <w:r w:rsidR="00324C0D"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 xml:space="preserve">signed and dated by the people or communities affected by the project. </w:t>
      </w:r>
    </w:p>
    <w:p w14:paraId="5B24591E" w14:textId="77777777" w:rsidR="00141070" w:rsidRPr="00967C9B" w:rsidRDefault="00141070" w:rsidP="00DD3961">
      <w:pPr>
        <w:numPr>
          <w:ilvl w:val="0"/>
          <w:numId w:val="8"/>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Claims received verbally must be documented, verified and signed by the people or communities affected by the project, so that the local facilitator can give due process.</w:t>
      </w:r>
    </w:p>
    <w:p w14:paraId="1C7BC62B" w14:textId="607F97DC" w:rsidR="00141070" w:rsidRPr="00967C9B" w:rsidRDefault="00141070" w:rsidP="00DD3961">
      <w:pPr>
        <w:numPr>
          <w:ilvl w:val="0"/>
          <w:numId w:val="8"/>
        </w:numPr>
        <w:spacing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The local facilitator will establish a record of all claims received</w:t>
      </w:r>
      <w:r w:rsidR="00382FB1" w:rsidRPr="00967C9B">
        <w:rPr>
          <w:rFonts w:ascii="Calibri" w:eastAsia="Times New Roman" w:hAnsi="Calibri" w:cs="Calibri"/>
          <w:color w:val="000000"/>
          <w:lang w:eastAsia="en-CA"/>
        </w:rPr>
        <w:t xml:space="preserve"> and</w:t>
      </w:r>
      <w:r w:rsidRPr="00967C9B">
        <w:rPr>
          <w:rFonts w:ascii="Calibri" w:eastAsia="Times New Roman" w:hAnsi="Calibri" w:cs="Calibri"/>
          <w:color w:val="000000"/>
          <w:lang w:eastAsia="en-CA"/>
        </w:rPr>
        <w:t xml:space="preserve"> this record of complaints must specify the name of the persons or communities affected by the project, the reason for the claim and the date of receipt. The local facilitator will issue the acknowledgment of receipt of the claim for the persons or communities affected by the project in writing, within 2 business days.</w:t>
      </w:r>
    </w:p>
    <w:p w14:paraId="536E132C"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46486A65" w14:textId="3A0E83A3"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B) Through </w:t>
      </w:r>
      <w:r w:rsidRPr="00967C9B">
        <w:rPr>
          <w:rFonts w:ascii="Calibri" w:eastAsia="Times New Roman" w:hAnsi="Calibri" w:cs="Calibri"/>
          <w:b/>
          <w:bCs/>
          <w:color w:val="000000"/>
          <w:lang w:eastAsia="en-CA"/>
        </w:rPr>
        <w:t>written communications</w:t>
      </w:r>
      <w:r w:rsidRPr="00967C9B">
        <w:rPr>
          <w:rFonts w:ascii="Calibri" w:eastAsia="Times New Roman" w:hAnsi="Calibri" w:cs="Calibri"/>
          <w:color w:val="000000"/>
          <w:lang w:eastAsia="en-CA"/>
        </w:rPr>
        <w:t xml:space="preserve"> submitted to the project's governing bodies through the means established for this purpose (email of the gender and participation specialist, the binational coordinator, or an email from a UNDP delegate official (who is linked to the execution of the project) or in a space generated on the website of the project etc.). This is given in case the complaints are minor </w:t>
      </w:r>
      <w:r w:rsidR="00382FB1" w:rsidRPr="00967C9B">
        <w:rPr>
          <w:rFonts w:ascii="Calibri" w:eastAsia="Times New Roman" w:hAnsi="Calibri" w:cs="Calibri"/>
          <w:color w:val="000000"/>
          <w:lang w:eastAsia="en-CA"/>
        </w:rPr>
        <w:t xml:space="preserve">or </w:t>
      </w:r>
      <w:r w:rsidRPr="00967C9B">
        <w:rPr>
          <w:rFonts w:ascii="Calibri" w:eastAsia="Times New Roman" w:hAnsi="Calibri" w:cs="Calibri"/>
          <w:color w:val="000000"/>
          <w:lang w:eastAsia="en-CA"/>
        </w:rPr>
        <w:t>have not been addressed by the facilitators. This presentation mechanism can also be used in case the claim has to do with the receivers of the claims (</w:t>
      </w:r>
      <w:r w:rsidR="00F4243F" w:rsidRPr="00967C9B">
        <w:t>Community workers</w:t>
      </w:r>
      <w:r w:rsidRPr="00967C9B">
        <w:rPr>
          <w:rFonts w:ascii="Calibri" w:eastAsia="Times New Roman" w:hAnsi="Calibri" w:cs="Calibri"/>
          <w:color w:val="000000"/>
          <w:lang w:eastAsia="en-CA"/>
        </w:rPr>
        <w:t xml:space="preserve">) or there has been a dispute </w:t>
      </w:r>
      <w:r w:rsidR="00382FB1" w:rsidRPr="00967C9B">
        <w:rPr>
          <w:rFonts w:ascii="Calibri" w:eastAsia="Times New Roman" w:hAnsi="Calibri" w:cs="Calibri"/>
          <w:color w:val="000000"/>
          <w:lang w:eastAsia="en-CA"/>
        </w:rPr>
        <w:t>involving them</w:t>
      </w:r>
      <w:r w:rsidRPr="00967C9B">
        <w:rPr>
          <w:rFonts w:ascii="Calibri" w:eastAsia="Times New Roman" w:hAnsi="Calibri" w:cs="Calibri"/>
          <w:color w:val="000000"/>
          <w:lang w:eastAsia="en-CA"/>
        </w:rPr>
        <w:t>.</w:t>
      </w:r>
    </w:p>
    <w:p w14:paraId="6326734A" w14:textId="677EFBA4"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 any case (</w:t>
      </w:r>
      <w:r w:rsidR="00CA7139" w:rsidRPr="00967C9B">
        <w:rPr>
          <w:rFonts w:ascii="Calibri" w:eastAsia="Times New Roman" w:hAnsi="Calibri" w:cs="Calibri"/>
          <w:color w:val="000000"/>
          <w:lang w:eastAsia="en-CA"/>
        </w:rPr>
        <w:t xml:space="preserve">either </w:t>
      </w:r>
      <w:r w:rsidR="00382FB1" w:rsidRPr="00967C9B">
        <w:rPr>
          <w:rFonts w:ascii="Calibri" w:eastAsia="Times New Roman" w:hAnsi="Calibri" w:cs="Calibri"/>
          <w:color w:val="000000"/>
          <w:lang w:eastAsia="en-CA"/>
        </w:rPr>
        <w:t>A</w:t>
      </w:r>
      <w:r w:rsidRPr="00967C9B">
        <w:rPr>
          <w:rFonts w:ascii="Calibri" w:eastAsia="Times New Roman" w:hAnsi="Calibri" w:cs="Calibri"/>
          <w:color w:val="000000"/>
          <w:lang w:eastAsia="en-CA"/>
        </w:rPr>
        <w:t xml:space="preserve"> or </w:t>
      </w:r>
      <w:r w:rsidR="00382FB1" w:rsidRPr="00967C9B">
        <w:rPr>
          <w:rFonts w:ascii="Calibri" w:eastAsia="Times New Roman" w:hAnsi="Calibri" w:cs="Calibri"/>
          <w:color w:val="000000"/>
          <w:lang w:eastAsia="en-CA"/>
        </w:rPr>
        <w:t>B</w:t>
      </w:r>
      <w:r w:rsidRPr="00967C9B">
        <w:rPr>
          <w:rFonts w:ascii="Calibri" w:eastAsia="Times New Roman" w:hAnsi="Calibri" w:cs="Calibri"/>
          <w:color w:val="000000"/>
          <w:lang w:eastAsia="en-CA"/>
        </w:rPr>
        <w:t xml:space="preserve">), the complaint is received in written form by the </w:t>
      </w:r>
      <w:r w:rsidR="00382FB1" w:rsidRPr="00967C9B">
        <w:rPr>
          <w:rFonts w:ascii="Calibri" w:eastAsia="Times New Roman" w:hAnsi="Calibri" w:cs="Calibri"/>
          <w:color w:val="000000"/>
          <w:lang w:eastAsia="en-CA"/>
        </w:rPr>
        <w:t>EGP person.</w:t>
      </w:r>
    </w:p>
    <w:p w14:paraId="5521CC7A"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0CAE420F" w14:textId="26673A53"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 xml:space="preserve">2nd level: The person in charge of </w:t>
      </w:r>
      <w:r w:rsidR="00F4243F" w:rsidRPr="00967C9B">
        <w:rPr>
          <w:rFonts w:ascii="Calibri" w:eastAsia="Times New Roman" w:hAnsi="Calibri" w:cs="Calibri"/>
          <w:b/>
          <w:bCs/>
          <w:color w:val="000000"/>
          <w:lang w:eastAsia="en-CA"/>
        </w:rPr>
        <w:t xml:space="preserve">Gender, participation and intercultural specialist </w:t>
      </w:r>
      <w:r w:rsidRPr="00967C9B">
        <w:rPr>
          <w:rFonts w:ascii="Calibri" w:eastAsia="Times New Roman" w:hAnsi="Calibri" w:cs="Calibri"/>
          <w:b/>
          <w:bCs/>
          <w:color w:val="000000"/>
          <w:lang w:eastAsia="en-CA"/>
        </w:rPr>
        <w:t>(EGP</w:t>
      </w:r>
      <w:r w:rsidRPr="00967C9B">
        <w:rPr>
          <w:rFonts w:ascii="Calibri" w:eastAsia="Times New Roman" w:hAnsi="Calibri" w:cs="Calibri"/>
          <w:color w:val="000000"/>
          <w:lang w:eastAsia="en-CA"/>
        </w:rPr>
        <w:t>) receives the corresponding claims presented through a written communication.</w:t>
      </w:r>
    </w:p>
    <w:p w14:paraId="1428F5D8"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026C2262" w14:textId="77777777" w:rsidR="00141070" w:rsidRPr="00967C9B" w:rsidRDefault="00141070" w:rsidP="00DD3961">
      <w:pPr>
        <w:numPr>
          <w:ilvl w:val="0"/>
          <w:numId w:val="9"/>
        </w:numPr>
        <w:spacing w:after="0" w:line="240" w:lineRule="auto"/>
        <w:ind w:left="40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At this level, the person in charge receives and evaluates the type of claim presented. </w:t>
      </w:r>
    </w:p>
    <w:p w14:paraId="096FC4F3" w14:textId="2AB5F647" w:rsidR="00141070" w:rsidRPr="00967C9B" w:rsidRDefault="00141070" w:rsidP="00DD3961">
      <w:pPr>
        <w:numPr>
          <w:ilvl w:val="0"/>
          <w:numId w:val="9"/>
        </w:numPr>
        <w:spacing w:after="0" w:line="240" w:lineRule="auto"/>
        <w:ind w:left="40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In this instance, </w:t>
      </w:r>
      <w:r w:rsidR="00382FB1" w:rsidRPr="00967C9B">
        <w:rPr>
          <w:rFonts w:ascii="Calibri" w:eastAsia="Times New Roman" w:hAnsi="Calibri" w:cs="Calibri"/>
          <w:color w:val="000000"/>
          <w:lang w:eastAsia="en-CA"/>
        </w:rPr>
        <w:t>they</w:t>
      </w:r>
      <w:r w:rsidRPr="00967C9B">
        <w:rPr>
          <w:rFonts w:ascii="Calibri" w:eastAsia="Times New Roman" w:hAnsi="Calibri" w:cs="Calibri"/>
          <w:color w:val="000000"/>
          <w:lang w:eastAsia="en-CA"/>
        </w:rPr>
        <w:t xml:space="preserve"> must provide a written acknowledgment of receipt within 3 business days of receiving the request and indicate that </w:t>
      </w:r>
      <w:r w:rsidR="00382FB1" w:rsidRPr="00967C9B">
        <w:rPr>
          <w:rFonts w:ascii="Calibri" w:eastAsia="Times New Roman" w:hAnsi="Calibri" w:cs="Calibri"/>
          <w:color w:val="000000"/>
          <w:lang w:eastAsia="en-CA"/>
        </w:rPr>
        <w:t>they</w:t>
      </w:r>
      <w:r w:rsidRPr="00967C9B">
        <w:rPr>
          <w:rFonts w:ascii="Calibri" w:eastAsia="Times New Roman" w:hAnsi="Calibri" w:cs="Calibri"/>
          <w:color w:val="000000"/>
          <w:lang w:eastAsia="en-CA"/>
        </w:rPr>
        <w:t xml:space="preserve"> will complete the review within 15 business days of receipt of the claim.</w:t>
      </w:r>
    </w:p>
    <w:p w14:paraId="1FE34C5D" w14:textId="77777777" w:rsidR="00141070" w:rsidRPr="00967C9B" w:rsidRDefault="00141070" w:rsidP="00DD3961">
      <w:pPr>
        <w:numPr>
          <w:ilvl w:val="0"/>
          <w:numId w:val="9"/>
        </w:numPr>
        <w:spacing w:after="0" w:line="240" w:lineRule="auto"/>
        <w:ind w:left="40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If the application is incomplete, it must be returned to the applicant within 3 business days of receipt, with a clearly specified request to provide the missing information.</w:t>
      </w:r>
    </w:p>
    <w:p w14:paraId="6DF54B16" w14:textId="0D88A8EF" w:rsidR="00141070" w:rsidRPr="00967C9B" w:rsidRDefault="00141070" w:rsidP="00DD3961">
      <w:pPr>
        <w:numPr>
          <w:ilvl w:val="0"/>
          <w:numId w:val="9"/>
        </w:numPr>
        <w:spacing w:after="0" w:line="240" w:lineRule="auto"/>
        <w:ind w:left="40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In all claims, an answer of eligibility or no of the same one is offered. </w:t>
      </w:r>
    </w:p>
    <w:p w14:paraId="764E8E9A" w14:textId="21B5B8B8" w:rsidR="00141070" w:rsidRPr="00967C9B" w:rsidRDefault="00141070" w:rsidP="00DD3961">
      <w:pPr>
        <w:numPr>
          <w:ilvl w:val="0"/>
          <w:numId w:val="9"/>
        </w:numPr>
        <w:spacing w:line="240" w:lineRule="auto"/>
        <w:ind w:left="40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In all cases, the EGP must monitor said action </w:t>
      </w:r>
      <w:proofErr w:type="gramStart"/>
      <w:r w:rsidRPr="00967C9B">
        <w:rPr>
          <w:rFonts w:ascii="Calibri" w:eastAsia="Times New Roman" w:hAnsi="Calibri" w:cs="Calibri"/>
          <w:color w:val="000000"/>
          <w:lang w:eastAsia="en-CA"/>
        </w:rPr>
        <w:t>at a later date</w:t>
      </w:r>
      <w:proofErr w:type="gramEnd"/>
      <w:r w:rsidR="00382FB1"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and report periodically to the claims repair committee (CRR).</w:t>
      </w:r>
    </w:p>
    <w:p w14:paraId="3EC19910"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 case of not being able to provide an appropriate response, the claim must be followed to the next level of decision making.</w:t>
      </w:r>
    </w:p>
    <w:p w14:paraId="2419E30A"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027C383"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3rd level: The person acting as binational Project Coordinator - or Project Coordinator</w:t>
      </w:r>
      <w:r w:rsidRPr="00967C9B">
        <w:rPr>
          <w:rFonts w:ascii="Calibri" w:eastAsia="Times New Roman" w:hAnsi="Calibri" w:cs="Calibri"/>
          <w:color w:val="000000"/>
          <w:lang w:eastAsia="en-CA"/>
        </w:rPr>
        <w:t xml:space="preserve"> receives the claims presented through the EGP that could not be managed or solved. </w:t>
      </w:r>
    </w:p>
    <w:p w14:paraId="60843A00"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4BB201CB" w14:textId="4EC590F2"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In addition, </w:t>
      </w:r>
      <w:r w:rsidR="004B65ED" w:rsidRPr="00967C9B">
        <w:rPr>
          <w:rFonts w:ascii="Calibri" w:eastAsia="Times New Roman" w:hAnsi="Calibri" w:cs="Calibri"/>
          <w:color w:val="000000"/>
          <w:lang w:eastAsia="en-CA"/>
        </w:rPr>
        <w:t>complaints can be</w:t>
      </w:r>
      <w:r w:rsidRPr="00967C9B">
        <w:rPr>
          <w:rFonts w:ascii="Calibri" w:eastAsia="Times New Roman" w:hAnsi="Calibri" w:cs="Calibri"/>
          <w:color w:val="000000"/>
          <w:lang w:eastAsia="en-CA"/>
        </w:rPr>
        <w:t xml:space="preserve"> receive</w:t>
      </w:r>
      <w:r w:rsidR="004B65ED" w:rsidRPr="00967C9B">
        <w:rPr>
          <w:rFonts w:ascii="Calibri" w:eastAsia="Times New Roman" w:hAnsi="Calibri" w:cs="Calibri"/>
          <w:color w:val="000000"/>
          <w:lang w:eastAsia="en-CA"/>
        </w:rPr>
        <w:t>d</w:t>
      </w:r>
      <w:r w:rsidRPr="00967C9B">
        <w:rPr>
          <w:rFonts w:ascii="Calibri" w:eastAsia="Times New Roman" w:hAnsi="Calibri" w:cs="Calibri"/>
          <w:color w:val="000000"/>
          <w:lang w:eastAsia="en-CA"/>
        </w:rPr>
        <w:t xml:space="preserve"> directly through electronic means designed for this purpose (email, website of the project, others). </w:t>
      </w:r>
    </w:p>
    <w:p w14:paraId="06FBA2E3"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7EA4A5A5" w14:textId="182F3871"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4th level: Project Claims Reparation Committee (CRR)</w:t>
      </w:r>
      <w:r w:rsidRPr="00967C9B">
        <w:rPr>
          <w:rFonts w:ascii="Calibri" w:eastAsia="Times New Roman" w:hAnsi="Calibri" w:cs="Calibri"/>
          <w:color w:val="000000"/>
          <w:lang w:eastAsia="en-CA"/>
        </w:rPr>
        <w:t>: This body receives complaints that project personnel have not been able to solve or manage since they were received. It is not a permanent committee, but it is activated once claims are received to be served at this level</w:t>
      </w:r>
      <w:r w:rsidR="00741CCD"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since </w:t>
      </w:r>
      <w:r w:rsidR="00402945" w:rsidRPr="00967C9B">
        <w:rPr>
          <w:rFonts w:ascii="Calibri" w:eastAsia="Times New Roman" w:hAnsi="Calibri" w:cs="Calibri"/>
          <w:color w:val="000000"/>
          <w:lang w:eastAsia="en-CA"/>
        </w:rPr>
        <w:t xml:space="preserve">only </w:t>
      </w:r>
      <w:r w:rsidRPr="00967C9B">
        <w:rPr>
          <w:rFonts w:ascii="Calibri" w:eastAsia="Times New Roman" w:hAnsi="Calibri" w:cs="Calibri"/>
          <w:color w:val="000000"/>
          <w:lang w:eastAsia="en-CA"/>
        </w:rPr>
        <w:t xml:space="preserve">those claims that involve risks to the beneficiaries and their </w:t>
      </w:r>
      <w:r w:rsidR="00616EA5" w:rsidRPr="00967C9B">
        <w:rPr>
          <w:rFonts w:ascii="Calibri" w:eastAsia="Times New Roman" w:hAnsi="Calibri" w:cs="Calibri"/>
          <w:color w:val="000000"/>
          <w:lang w:eastAsia="en-CA"/>
        </w:rPr>
        <w:t>rights,</w:t>
      </w:r>
      <w:r w:rsidRPr="00967C9B">
        <w:rPr>
          <w:rFonts w:ascii="Calibri" w:eastAsia="Times New Roman" w:hAnsi="Calibri" w:cs="Calibri"/>
          <w:color w:val="000000"/>
          <w:lang w:eastAsia="en-CA"/>
        </w:rPr>
        <w:t xml:space="preserve"> </w:t>
      </w:r>
      <w:r w:rsidR="00402945" w:rsidRPr="00967C9B">
        <w:rPr>
          <w:rFonts w:ascii="Calibri" w:eastAsia="Times New Roman" w:hAnsi="Calibri" w:cs="Calibri"/>
          <w:color w:val="000000"/>
          <w:lang w:eastAsia="en-CA"/>
        </w:rPr>
        <w:t xml:space="preserve">or they can represent potential significant risks for the execution </w:t>
      </w:r>
      <w:r w:rsidRPr="00967C9B">
        <w:rPr>
          <w:rFonts w:ascii="Calibri" w:eastAsia="Times New Roman" w:hAnsi="Calibri" w:cs="Calibri"/>
          <w:color w:val="000000"/>
          <w:lang w:eastAsia="en-CA"/>
        </w:rPr>
        <w:t>will arrive</w:t>
      </w:r>
      <w:r w:rsidR="00402945" w:rsidRPr="00967C9B">
        <w:rPr>
          <w:rFonts w:ascii="Calibri" w:eastAsia="Times New Roman" w:hAnsi="Calibri" w:cs="Calibri"/>
          <w:color w:val="000000"/>
          <w:lang w:eastAsia="en-CA"/>
        </w:rPr>
        <w:t xml:space="preserve"> to this committee </w:t>
      </w:r>
    </w:p>
    <w:p w14:paraId="0D739A37"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26EFD96B" w14:textId="57F403B3" w:rsidR="00141070" w:rsidRPr="00967C9B" w:rsidRDefault="00141070" w:rsidP="00DD3961">
      <w:pPr>
        <w:numPr>
          <w:ilvl w:val="0"/>
          <w:numId w:val="10"/>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The project's board of directors establishes the CRR</w:t>
      </w:r>
      <w:r w:rsidR="00741CCD" w:rsidRPr="00967C9B">
        <w:rPr>
          <w:rFonts w:ascii="Calibri" w:eastAsia="Times New Roman" w:hAnsi="Calibri" w:cs="Calibri"/>
          <w:color w:val="000000"/>
          <w:lang w:eastAsia="en-CA"/>
        </w:rPr>
        <w:t xml:space="preserve">, which will be </w:t>
      </w:r>
      <w:r w:rsidRPr="00967C9B">
        <w:rPr>
          <w:rFonts w:ascii="Calibri" w:eastAsia="Times New Roman" w:hAnsi="Calibri" w:cs="Calibri"/>
          <w:color w:val="000000"/>
          <w:lang w:eastAsia="en-CA"/>
        </w:rPr>
        <w:t>chaired by the bi</w:t>
      </w:r>
      <w:r w:rsidR="008614C6"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national project coordinator</w:t>
      </w:r>
      <w:r w:rsidR="00741CCD" w:rsidRPr="00967C9B">
        <w:rPr>
          <w:rFonts w:ascii="Calibri" w:eastAsia="Times New Roman" w:hAnsi="Calibri" w:cs="Calibri"/>
          <w:color w:val="000000"/>
          <w:lang w:eastAsia="en-CA"/>
        </w:rPr>
        <w:t>. It</w:t>
      </w:r>
      <w:r w:rsidRPr="00967C9B">
        <w:rPr>
          <w:rFonts w:ascii="Calibri" w:eastAsia="Times New Roman" w:hAnsi="Calibri" w:cs="Calibri"/>
          <w:color w:val="000000"/>
          <w:lang w:eastAsia="en-CA"/>
        </w:rPr>
        <w:t xml:space="preserve"> will be responsible for receiving and resolving, in a fair, objective and constructive way, complaints raised by the people or communities affected by the project that involve risks important for its execution, but especially those that put at risk the beneficiaries and partners, or their rights. </w:t>
      </w:r>
    </w:p>
    <w:p w14:paraId="5A74A281" w14:textId="77777777" w:rsidR="00141070" w:rsidRPr="00967C9B" w:rsidRDefault="00141070" w:rsidP="00DD3961">
      <w:pPr>
        <w:numPr>
          <w:ilvl w:val="0"/>
          <w:numId w:val="10"/>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The CRR must be chosen at the beginning of the execution of the project.</w:t>
      </w:r>
    </w:p>
    <w:p w14:paraId="478B1763" w14:textId="77777777" w:rsidR="00141070" w:rsidRPr="00967C9B" w:rsidRDefault="00141070" w:rsidP="00DD3961">
      <w:pPr>
        <w:numPr>
          <w:ilvl w:val="0"/>
          <w:numId w:val="10"/>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The CRR must be informed periodically about the minor claims cases that the staff has solved. </w:t>
      </w:r>
    </w:p>
    <w:p w14:paraId="3E0D19B7" w14:textId="77777777" w:rsidR="00141070" w:rsidRPr="00967C9B" w:rsidRDefault="00141070" w:rsidP="00DD3961">
      <w:pPr>
        <w:numPr>
          <w:ilvl w:val="0"/>
          <w:numId w:val="10"/>
        </w:numPr>
        <w:spacing w:after="0"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 xml:space="preserve">It is part of the function of the CRR to disclose the claims management procedures in addition to monitoring and evaluating compliance with the agreements reached through the mechanism for repairing claims. </w:t>
      </w:r>
    </w:p>
    <w:p w14:paraId="0AE61DC0" w14:textId="7C20DC43" w:rsidR="009204F3" w:rsidRPr="00DD3961" w:rsidRDefault="00141070" w:rsidP="00DD3961">
      <w:pPr>
        <w:numPr>
          <w:ilvl w:val="0"/>
          <w:numId w:val="10"/>
        </w:numPr>
        <w:spacing w:line="240" w:lineRule="auto"/>
        <w:ind w:left="360"/>
        <w:jc w:val="both"/>
        <w:textAlignment w:val="baseline"/>
        <w:rPr>
          <w:rFonts w:ascii="Noto Sans Symbols" w:eastAsia="Times New Roman" w:hAnsi="Noto Sans Symbols" w:cs="Times New Roman"/>
          <w:color w:val="000000"/>
          <w:lang w:eastAsia="en-CA"/>
        </w:rPr>
      </w:pPr>
      <w:r w:rsidRPr="00967C9B">
        <w:rPr>
          <w:rFonts w:ascii="Calibri" w:eastAsia="Times New Roman" w:hAnsi="Calibri" w:cs="Calibri"/>
          <w:color w:val="000000"/>
          <w:lang w:eastAsia="en-CA"/>
        </w:rPr>
        <w:t>When a resolution is not reached at the CRR level</w:t>
      </w:r>
      <w:r w:rsidR="00741CCD"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or if the people or communities affected by the project do not receive a response or are not satisfied with the result within the agreed time, they can appeal to the Project Board.</w:t>
      </w:r>
    </w:p>
    <w:p w14:paraId="37548FAE" w14:textId="77777777" w:rsidR="009204F3" w:rsidRPr="00967C9B" w:rsidRDefault="009204F3" w:rsidP="00DD3961">
      <w:pPr>
        <w:spacing w:after="0" w:line="240" w:lineRule="auto"/>
        <w:jc w:val="both"/>
        <w:rPr>
          <w:rFonts w:ascii="Times New Roman" w:eastAsia="Times New Roman" w:hAnsi="Times New Roman" w:cs="Times New Roman"/>
          <w:sz w:val="24"/>
          <w:szCs w:val="24"/>
          <w:lang w:eastAsia="en-CA"/>
        </w:rPr>
      </w:pPr>
    </w:p>
    <w:p w14:paraId="5CFBB9F9"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 xml:space="preserve">Claim Resolution Steps </w:t>
      </w:r>
    </w:p>
    <w:p w14:paraId="401A6D62"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0E31FF8" w14:textId="392110A9"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u w:val="single"/>
          <w:lang w:eastAsia="en-CA"/>
        </w:rPr>
        <w:t>Step</w:t>
      </w:r>
      <w:proofErr w:type="gramStart"/>
      <w:r w:rsidRPr="00967C9B">
        <w:rPr>
          <w:rFonts w:ascii="Calibri" w:eastAsia="Times New Roman" w:hAnsi="Calibri" w:cs="Calibri"/>
          <w:color w:val="000000"/>
          <w:u w:val="single"/>
          <w:lang w:eastAsia="en-CA"/>
        </w:rPr>
        <w:t>1:Response</w:t>
      </w:r>
      <w:proofErr w:type="gramEnd"/>
      <w:r w:rsidRPr="00967C9B">
        <w:rPr>
          <w:rFonts w:ascii="Calibri" w:eastAsia="Times New Roman" w:hAnsi="Calibri" w:cs="Calibri"/>
          <w:color w:val="000000"/>
          <w:u w:val="single"/>
          <w:lang w:eastAsia="en-CA"/>
        </w:rPr>
        <w:br/>
      </w:r>
      <w:r w:rsidRPr="00967C9B">
        <w:rPr>
          <w:rFonts w:ascii="Calibri" w:eastAsia="Times New Roman" w:hAnsi="Calibri" w:cs="Calibri"/>
          <w:color w:val="000000"/>
          <w:lang w:eastAsia="en-CA"/>
        </w:rPr>
        <w:t xml:space="preserve">Once the action to resolve the submitted claim has been identified, the response must be communicated to the applicant within 15 days. </w:t>
      </w:r>
    </w:p>
    <w:p w14:paraId="344E3EFE"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The response should be recorded as part of the reports on the grievance mechanism.  </w:t>
      </w:r>
    </w:p>
    <w:p w14:paraId="38D35E35" w14:textId="7B702951"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 response must be in writing, in a language that is easily accessible to those who have requested it. This must be done at the level of solution that has been </w:t>
      </w:r>
      <w:r w:rsidR="00616EA5" w:rsidRPr="00967C9B">
        <w:rPr>
          <w:rFonts w:ascii="Calibri" w:eastAsia="Times New Roman" w:hAnsi="Calibri" w:cs="Calibri"/>
          <w:color w:val="000000"/>
          <w:lang w:eastAsia="en-CA"/>
        </w:rPr>
        <w:t>made</w:t>
      </w:r>
      <w:r w:rsidRPr="00967C9B">
        <w:rPr>
          <w:rFonts w:ascii="Calibri" w:eastAsia="Times New Roman" w:hAnsi="Calibri" w:cs="Calibri"/>
          <w:color w:val="000000"/>
          <w:lang w:eastAsia="en-CA"/>
        </w:rPr>
        <w:t xml:space="preserve"> at the level of EGP, binational coordinator or CRR. </w:t>
      </w:r>
    </w:p>
    <w:p w14:paraId="1FD1D91E"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08320C6" w14:textId="195C8B4B"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u w:val="single"/>
          <w:lang w:eastAsia="en-CA"/>
        </w:rPr>
        <w:t>Step 2: Meeting</w:t>
      </w:r>
    </w:p>
    <w:p w14:paraId="3105702F" w14:textId="4D9D19D9" w:rsidR="00141070" w:rsidRPr="00967C9B" w:rsidRDefault="00741CCD"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S</w:t>
      </w:r>
      <w:r w:rsidR="00141070" w:rsidRPr="00967C9B">
        <w:rPr>
          <w:rFonts w:ascii="Calibri" w:eastAsia="Times New Roman" w:hAnsi="Calibri" w:cs="Calibri"/>
          <w:color w:val="000000"/>
          <w:lang w:eastAsia="en-CA"/>
        </w:rPr>
        <w:t xml:space="preserve">hould be scheduled </w:t>
      </w:r>
      <w:proofErr w:type="gramStart"/>
      <w:r w:rsidRPr="00967C9B">
        <w:rPr>
          <w:rFonts w:ascii="Calibri" w:eastAsia="Times New Roman" w:hAnsi="Calibri" w:cs="Calibri"/>
          <w:color w:val="000000"/>
          <w:lang w:eastAsia="en-CA"/>
        </w:rPr>
        <w:t xml:space="preserve">in order </w:t>
      </w:r>
      <w:r w:rsidR="00141070" w:rsidRPr="00967C9B">
        <w:rPr>
          <w:rFonts w:ascii="Calibri" w:eastAsia="Times New Roman" w:hAnsi="Calibri" w:cs="Calibri"/>
          <w:color w:val="000000"/>
          <w:lang w:eastAsia="en-CA"/>
        </w:rPr>
        <w:t>to</w:t>
      </w:r>
      <w:proofErr w:type="gramEnd"/>
      <w:r w:rsidR="00141070" w:rsidRPr="00967C9B">
        <w:rPr>
          <w:rFonts w:ascii="Calibri" w:eastAsia="Times New Roman" w:hAnsi="Calibri" w:cs="Calibri"/>
          <w:color w:val="000000"/>
          <w:lang w:eastAsia="en-CA"/>
        </w:rPr>
        <w:t xml:space="preserve"> review and present the response to the complaint. Whatever the answer, it is essential that applicants fully understand both the proposed response and the options they can take after considering the proposed response.</w:t>
      </w:r>
    </w:p>
    <w:p w14:paraId="38AD9537"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76422629"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u w:val="single"/>
          <w:lang w:eastAsia="en-CA"/>
        </w:rPr>
        <w:t>Step 3: Action</w:t>
      </w:r>
    </w:p>
    <w:p w14:paraId="62BEE229"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When there is an agreement between an applicant and the project to move forward with the proposed action, or a process of direct dialogue or relatively simple negotiation, then that action must be implemented. </w:t>
      </w:r>
    </w:p>
    <w:p w14:paraId="4FF7350E"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59BB4515"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u w:val="single"/>
          <w:lang w:eastAsia="en-CA"/>
        </w:rPr>
        <w:t>Step 4: Monitoring</w:t>
      </w:r>
    </w:p>
    <w:p w14:paraId="00561F28"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It must be monitored to ensure that the response solves the problems raised by the applicant.</w:t>
      </w:r>
    </w:p>
    <w:p w14:paraId="02F603EC"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330125AA"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Closure of the claim</w:t>
      </w:r>
    </w:p>
    <w:p w14:paraId="4E0EC40F" w14:textId="0C566FA1"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 xml:space="preserve">The last step is to close the process. If the response and the action taken has been successful, the satisfactory resolution must be documented. In cases where there have been significant risks, impacts and / or negative publicity, it may be appropriate to include written documentation from the applicant that indicates satisfaction with the response that was made to </w:t>
      </w:r>
      <w:r w:rsidR="00741CCD" w:rsidRPr="00967C9B">
        <w:rPr>
          <w:rFonts w:ascii="Calibri" w:eastAsia="Times New Roman" w:hAnsi="Calibri" w:cs="Calibri"/>
          <w:color w:val="000000"/>
          <w:lang w:eastAsia="en-CA"/>
        </w:rPr>
        <w:t>the</w:t>
      </w:r>
      <w:r w:rsidRPr="00967C9B">
        <w:rPr>
          <w:rFonts w:ascii="Calibri" w:eastAsia="Times New Roman" w:hAnsi="Calibri" w:cs="Calibri"/>
          <w:color w:val="000000"/>
          <w:lang w:eastAsia="en-CA"/>
        </w:rPr>
        <w:t xml:space="preserve"> claim. In regular cases that did not require major efforts</w:t>
      </w:r>
      <w:r w:rsidR="00741CCD"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or were claims resolved in the first instance, the measures must be recorded</w:t>
      </w:r>
      <w:r w:rsidR="00741CCD"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and the response </w:t>
      </w:r>
      <w:r w:rsidR="00741CCD" w:rsidRPr="00967C9B">
        <w:rPr>
          <w:rFonts w:ascii="Calibri" w:eastAsia="Times New Roman" w:hAnsi="Calibri" w:cs="Calibri"/>
          <w:color w:val="000000"/>
          <w:lang w:eastAsia="en-CA"/>
        </w:rPr>
        <w:t>should have been</w:t>
      </w:r>
      <w:r w:rsidRPr="00967C9B">
        <w:rPr>
          <w:rFonts w:ascii="Calibri" w:eastAsia="Times New Roman" w:hAnsi="Calibri" w:cs="Calibri"/>
          <w:color w:val="000000"/>
          <w:lang w:eastAsia="en-CA"/>
        </w:rPr>
        <w:t xml:space="preserve"> satisfactory for the applicant. In situations of more complex and unusual complaints, it may be useful to document the key lessons learned.</w:t>
      </w:r>
    </w:p>
    <w:p w14:paraId="2784612F"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1C910F42" w14:textId="77777777"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b/>
          <w:bCs/>
          <w:color w:val="000000"/>
          <w:lang w:eastAsia="en-CA"/>
        </w:rPr>
        <w:t>In case of lack of agreements</w:t>
      </w:r>
    </w:p>
    <w:p w14:paraId="04031FE3" w14:textId="2E93D9AE" w:rsidR="00141070" w:rsidRPr="00967C9B" w:rsidRDefault="00141070" w:rsidP="00DD3961">
      <w:pPr>
        <w:spacing w:after="0" w:line="240" w:lineRule="auto"/>
        <w:ind w:hanging="40"/>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 some cases</w:t>
      </w:r>
      <w:r w:rsidR="00741CCD"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it may not be possible to reach an agreement with the applicant about the response proposed by the project. In a multi-stakeholder dispute, an evaluation process may lead to the conclusion that a collaborative process is not feasible. If a collaborative process is used, good faith efforts may </w:t>
      </w:r>
      <w:r w:rsidR="00741CCD" w:rsidRPr="00967C9B">
        <w:rPr>
          <w:rFonts w:ascii="Calibri" w:eastAsia="Times New Roman" w:hAnsi="Calibri" w:cs="Calibri"/>
          <w:color w:val="000000"/>
          <w:lang w:eastAsia="en-CA"/>
        </w:rPr>
        <w:t xml:space="preserve">still not </w:t>
      </w:r>
      <w:r w:rsidRPr="00967C9B">
        <w:rPr>
          <w:rFonts w:ascii="Calibri" w:eastAsia="Times New Roman" w:hAnsi="Calibri" w:cs="Calibri"/>
          <w:color w:val="000000"/>
          <w:lang w:eastAsia="en-CA"/>
        </w:rPr>
        <w:t>be able to solve the key problems.</w:t>
      </w:r>
    </w:p>
    <w:p w14:paraId="06EAF0D4" w14:textId="73CCC752"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r w:rsidRPr="00967C9B">
        <w:rPr>
          <w:rFonts w:ascii="Calibri" w:eastAsia="Times New Roman" w:hAnsi="Calibri" w:cs="Calibri"/>
          <w:color w:val="000000"/>
          <w:lang w:eastAsia="en-CA"/>
        </w:rPr>
        <w:t>In any of these situations, the process and pending issues with the requesting person, the project</w:t>
      </w:r>
      <w:r w:rsidR="00741CCD" w:rsidRPr="00967C9B">
        <w:rPr>
          <w:rFonts w:ascii="Calibri" w:eastAsia="Times New Roman" w:hAnsi="Calibri" w:cs="Calibri"/>
          <w:color w:val="000000"/>
          <w:lang w:eastAsia="en-CA"/>
        </w:rPr>
        <w:t xml:space="preserve"> </w:t>
      </w:r>
      <w:r w:rsidRPr="00967C9B">
        <w:rPr>
          <w:rFonts w:ascii="Calibri" w:eastAsia="Times New Roman" w:hAnsi="Calibri" w:cs="Calibri"/>
          <w:color w:val="000000"/>
          <w:lang w:eastAsia="en-CA"/>
        </w:rPr>
        <w:t>staff</w:t>
      </w:r>
      <w:r w:rsidR="00741CCD"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the CRR committee and any other relevant interested party</w:t>
      </w:r>
      <w:r w:rsidR="00570276"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should be reviewed to see if a modification of the response could satisfy </w:t>
      </w:r>
      <w:proofErr w:type="gramStart"/>
      <w:r w:rsidRPr="00967C9B">
        <w:rPr>
          <w:rFonts w:ascii="Calibri" w:eastAsia="Times New Roman" w:hAnsi="Calibri" w:cs="Calibri"/>
          <w:color w:val="000000"/>
          <w:lang w:eastAsia="en-CA"/>
        </w:rPr>
        <w:t>all of</w:t>
      </w:r>
      <w:proofErr w:type="gramEnd"/>
      <w:r w:rsidRPr="00967C9B">
        <w:rPr>
          <w:rFonts w:ascii="Calibri" w:eastAsia="Times New Roman" w:hAnsi="Calibri" w:cs="Calibri"/>
          <w:color w:val="000000"/>
          <w:lang w:eastAsia="en-CA"/>
        </w:rPr>
        <w:t xml:space="preserve"> their interests and concerns.</w:t>
      </w:r>
    </w:p>
    <w:p w14:paraId="7E25B2AE" w14:textId="77777777" w:rsidR="00141070" w:rsidRPr="00967C9B" w:rsidRDefault="00141070" w:rsidP="00DD3961">
      <w:pPr>
        <w:spacing w:after="0" w:line="240" w:lineRule="auto"/>
        <w:jc w:val="both"/>
        <w:rPr>
          <w:rFonts w:ascii="Times New Roman" w:eastAsia="Times New Roman" w:hAnsi="Times New Roman" w:cs="Times New Roman"/>
          <w:sz w:val="24"/>
          <w:szCs w:val="24"/>
          <w:lang w:eastAsia="en-CA"/>
        </w:rPr>
      </w:pPr>
    </w:p>
    <w:p w14:paraId="7C343501" w14:textId="4488E961" w:rsidR="003B3D5A" w:rsidRPr="00967C9B" w:rsidRDefault="00141070" w:rsidP="00DD3961">
      <w:pPr>
        <w:spacing w:after="0" w:line="240" w:lineRule="auto"/>
        <w:jc w:val="both"/>
      </w:pPr>
      <w:r w:rsidRPr="00967C9B">
        <w:rPr>
          <w:rFonts w:ascii="Calibri" w:eastAsia="Times New Roman" w:hAnsi="Calibri" w:cs="Calibri"/>
          <w:color w:val="000000"/>
          <w:lang w:eastAsia="en-CA"/>
        </w:rPr>
        <w:t>If no modification to the answer is mutually acceptable</w:t>
      </w:r>
      <w:r w:rsidR="00570276" w:rsidRPr="00967C9B">
        <w:rPr>
          <w:rFonts w:ascii="Calibri" w:eastAsia="Times New Roman" w:hAnsi="Calibri" w:cs="Calibri"/>
          <w:color w:val="000000"/>
          <w:lang w:eastAsia="en-CA"/>
        </w:rPr>
        <w:t>,</w:t>
      </w:r>
      <w:r w:rsidRPr="00967C9B">
        <w:rPr>
          <w:rFonts w:ascii="Calibri" w:eastAsia="Times New Roman" w:hAnsi="Calibri" w:cs="Calibri"/>
          <w:color w:val="000000"/>
          <w:lang w:eastAsia="en-CA"/>
        </w:rPr>
        <w:t xml:space="preserve"> the applicant can look for other options within the national legal and administrative systems. Whichever alternative the petitioner of the complaint chooses, it is important that the project staff document their discussion with the applicant and the final choice of th</w:t>
      </w:r>
      <w:r w:rsidR="00570276" w:rsidRPr="00967C9B">
        <w:rPr>
          <w:rFonts w:ascii="Calibri" w:eastAsia="Times New Roman" w:hAnsi="Calibri" w:cs="Calibri"/>
          <w:color w:val="000000"/>
          <w:lang w:eastAsia="en-CA"/>
        </w:rPr>
        <w:t>at person</w:t>
      </w:r>
      <w:r w:rsidRPr="00967C9B">
        <w:rPr>
          <w:rFonts w:ascii="Calibri" w:eastAsia="Times New Roman" w:hAnsi="Calibri" w:cs="Calibri"/>
          <w:color w:val="000000"/>
          <w:lang w:eastAsia="en-CA"/>
        </w:rPr>
        <w:t xml:space="preserve">. </w:t>
      </w:r>
    </w:p>
    <w:p w14:paraId="40F65161" w14:textId="3E91D8BA" w:rsidR="00141070" w:rsidRPr="00967C9B" w:rsidRDefault="002F77DB" w:rsidP="00DD3961">
      <w:pPr>
        <w:pStyle w:val="Heading1"/>
        <w:jc w:val="both"/>
        <w:rPr>
          <w:rFonts w:asciiTheme="minorHAnsi" w:hAnsiTheme="minorHAnsi"/>
          <w:sz w:val="24"/>
          <w:szCs w:val="24"/>
        </w:rPr>
      </w:pPr>
      <w:bookmarkStart w:id="71" w:name="_Toc8644450"/>
      <w:bookmarkStart w:id="72" w:name="_Toc8644552"/>
      <w:r w:rsidRPr="00967C9B">
        <w:rPr>
          <w:rFonts w:asciiTheme="minorHAnsi" w:hAnsiTheme="minorHAnsi"/>
          <w:sz w:val="24"/>
          <w:szCs w:val="24"/>
        </w:rPr>
        <w:t>9</w:t>
      </w:r>
      <w:r w:rsidR="00141070" w:rsidRPr="00967C9B">
        <w:rPr>
          <w:rFonts w:asciiTheme="minorHAnsi" w:hAnsiTheme="minorHAnsi"/>
          <w:sz w:val="24"/>
          <w:szCs w:val="24"/>
        </w:rPr>
        <w:t>) Bibliography</w:t>
      </w:r>
      <w:bookmarkEnd w:id="71"/>
      <w:bookmarkEnd w:id="72"/>
      <w:r w:rsidR="00141070" w:rsidRPr="00967C9B">
        <w:rPr>
          <w:rFonts w:asciiTheme="minorHAnsi" w:hAnsiTheme="minorHAnsi"/>
          <w:sz w:val="24"/>
          <w:szCs w:val="24"/>
        </w:rPr>
        <w:t xml:space="preserve"> </w:t>
      </w:r>
    </w:p>
    <w:p w14:paraId="449CCDAE" w14:textId="77777777" w:rsidR="00141070" w:rsidRPr="00967C9B" w:rsidRDefault="00141070" w:rsidP="00141070">
      <w:pPr>
        <w:spacing w:after="0" w:line="240" w:lineRule="auto"/>
        <w:jc w:val="both"/>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Constitution of the Republic of Ecuador Constituent Assembly, 2008</w:t>
      </w:r>
    </w:p>
    <w:p w14:paraId="4E8B6513" w14:textId="77777777" w:rsidR="00141070" w:rsidRPr="00967C9B" w:rsidRDefault="00A23F23" w:rsidP="00141070">
      <w:pPr>
        <w:spacing w:after="0" w:line="240" w:lineRule="auto"/>
        <w:jc w:val="both"/>
        <w:rPr>
          <w:rFonts w:ascii="Times New Roman" w:eastAsia="Times New Roman" w:hAnsi="Times New Roman" w:cs="Times New Roman"/>
          <w:sz w:val="20"/>
          <w:szCs w:val="20"/>
          <w:lang w:eastAsia="en-CA"/>
        </w:rPr>
      </w:pPr>
      <w:hyperlink r:id="rId28" w:history="1">
        <w:r w:rsidR="00141070" w:rsidRPr="00967C9B">
          <w:rPr>
            <w:rFonts w:ascii="Calibri" w:eastAsia="Times New Roman" w:hAnsi="Calibri" w:cs="Calibri"/>
            <w:color w:val="000000"/>
            <w:sz w:val="20"/>
            <w:szCs w:val="20"/>
            <w:u w:val="single"/>
            <w:lang w:eastAsia="en-CA"/>
          </w:rPr>
          <w:t>http://www.derecho-ambiental.org/Derecho/Legislacion/Constitucion_Asamblea_Ecuador_5.html</w:t>
        </w:r>
      </w:hyperlink>
    </w:p>
    <w:p w14:paraId="54B17413"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36BEE581"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roofErr w:type="spellStart"/>
      <w:r w:rsidRPr="00967C9B">
        <w:rPr>
          <w:rFonts w:ascii="Calibri" w:eastAsia="Times New Roman" w:hAnsi="Calibri" w:cs="Calibri"/>
          <w:color w:val="000000"/>
          <w:sz w:val="20"/>
          <w:szCs w:val="20"/>
          <w:lang w:eastAsia="en-CA"/>
        </w:rPr>
        <w:t>Defensoría</w:t>
      </w:r>
      <w:proofErr w:type="spellEnd"/>
      <w:r w:rsidRPr="00967C9B">
        <w:rPr>
          <w:rFonts w:ascii="Calibri" w:eastAsia="Times New Roman" w:hAnsi="Calibri" w:cs="Calibri"/>
          <w:color w:val="000000"/>
          <w:sz w:val="20"/>
          <w:szCs w:val="20"/>
          <w:lang w:eastAsia="en-CA"/>
        </w:rPr>
        <w:t xml:space="preserve"> del Pueblo (2016). Institutional Policy on Gender Equality 2016-2019. Ombudsman's Office Ecuador.</w:t>
      </w:r>
    </w:p>
    <w:p w14:paraId="54774F38"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0026EA85"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GEF (2018). Guidance to advance gender equity in GEF projects and Programs (GEF / C.54 / Inf.05).  </w:t>
      </w:r>
    </w:p>
    <w:p w14:paraId="6FFF9541" w14:textId="77777777" w:rsidR="00141070" w:rsidRPr="00967C9B" w:rsidRDefault="00A23F23" w:rsidP="00141070">
      <w:pPr>
        <w:spacing w:after="0" w:line="240" w:lineRule="auto"/>
        <w:rPr>
          <w:rFonts w:ascii="Times New Roman" w:eastAsia="Times New Roman" w:hAnsi="Times New Roman" w:cs="Times New Roman"/>
          <w:sz w:val="20"/>
          <w:szCs w:val="20"/>
          <w:lang w:eastAsia="en-CA"/>
        </w:rPr>
      </w:pPr>
      <w:hyperlink r:id="rId29" w:history="1">
        <w:r w:rsidR="00141070" w:rsidRPr="00967C9B">
          <w:rPr>
            <w:rFonts w:ascii="Calibri" w:eastAsia="Times New Roman" w:hAnsi="Calibri" w:cs="Calibri"/>
            <w:color w:val="000000"/>
            <w:sz w:val="20"/>
            <w:szCs w:val="20"/>
            <w:u w:val="single"/>
            <w:lang w:eastAsia="en-CA"/>
          </w:rPr>
          <w:t>https://www.thegef.org/council-meeting-documents/guidance-advance-gender-equality-gef-projects-and-programs</w:t>
        </w:r>
      </w:hyperlink>
    </w:p>
    <w:p w14:paraId="3B0DCD82"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1B91D5DC"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roofErr w:type="gramStart"/>
      <w:r w:rsidRPr="00967C9B">
        <w:rPr>
          <w:rFonts w:ascii="Calibri" w:eastAsia="Times New Roman" w:hAnsi="Calibri" w:cs="Calibri"/>
          <w:color w:val="000000"/>
          <w:sz w:val="20"/>
          <w:szCs w:val="20"/>
          <w:lang w:eastAsia="en-CA"/>
        </w:rPr>
        <w:t>Organic Law on Water Resources,</w:t>
      </w:r>
      <w:proofErr w:type="gramEnd"/>
      <w:r w:rsidRPr="00967C9B">
        <w:rPr>
          <w:rFonts w:ascii="Calibri" w:eastAsia="Times New Roman" w:hAnsi="Calibri" w:cs="Calibri"/>
          <w:color w:val="000000"/>
          <w:sz w:val="20"/>
          <w:szCs w:val="20"/>
          <w:lang w:eastAsia="en-CA"/>
        </w:rPr>
        <w:t xml:space="preserve"> Uses and Use of Water (2014)</w:t>
      </w:r>
    </w:p>
    <w:p w14:paraId="44C62666"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00BBE9DB" w14:textId="7DA2E7AE"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 xml:space="preserve">Melo, C. </w:t>
      </w:r>
      <w:r w:rsidR="00616EA5" w:rsidRPr="00967C9B">
        <w:rPr>
          <w:rFonts w:ascii="Calibri" w:eastAsia="Times New Roman" w:hAnsi="Calibri" w:cs="Calibri"/>
          <w:color w:val="000000"/>
          <w:sz w:val="20"/>
          <w:szCs w:val="20"/>
          <w:lang w:eastAsia="en-CA"/>
        </w:rPr>
        <w:t>(2017</w:t>
      </w:r>
      <w:r w:rsidRPr="00967C9B">
        <w:rPr>
          <w:rFonts w:ascii="Calibri" w:eastAsia="Times New Roman" w:hAnsi="Calibri" w:cs="Calibri"/>
          <w:color w:val="000000"/>
          <w:sz w:val="20"/>
          <w:szCs w:val="20"/>
          <w:lang w:eastAsia="en-CA"/>
        </w:rPr>
        <w:t>). ABC of the project cycle with a gender focus. UNDP</w:t>
      </w:r>
    </w:p>
    <w:p w14:paraId="44071F05"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603DDFF4"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UNDP Aid Report of the binational workshop for the preparation of the Project Document (PPG). September 21, 2018. Ecuador</w:t>
      </w:r>
    </w:p>
    <w:p w14:paraId="40C5707A"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7178D42E"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UNDP. (2014). UNDP Gender Equality Strategy 2014-2017. USA.</w:t>
      </w:r>
    </w:p>
    <w:p w14:paraId="4370DD13" w14:textId="77777777" w:rsidR="00141070" w:rsidRPr="00967C9B" w:rsidRDefault="00A23F23" w:rsidP="00141070">
      <w:pPr>
        <w:spacing w:after="0" w:line="240" w:lineRule="auto"/>
        <w:rPr>
          <w:rFonts w:ascii="Times New Roman" w:eastAsia="Times New Roman" w:hAnsi="Times New Roman" w:cs="Times New Roman"/>
          <w:sz w:val="20"/>
          <w:szCs w:val="20"/>
          <w:lang w:eastAsia="en-CA"/>
        </w:rPr>
      </w:pPr>
      <w:hyperlink r:id="rId30" w:history="1">
        <w:r w:rsidR="00141070" w:rsidRPr="00967C9B">
          <w:rPr>
            <w:rFonts w:ascii="Calibri" w:eastAsia="Times New Roman" w:hAnsi="Calibri" w:cs="Calibri"/>
            <w:color w:val="000000"/>
            <w:sz w:val="20"/>
            <w:szCs w:val="20"/>
            <w:u w:val="single"/>
            <w:lang w:eastAsia="en-CA"/>
          </w:rPr>
          <w:t>http://www.cl.undp.org/content/chile/en/home/library/womens_empowerment/strategy-of-equality-of-general-pnud-2014-2017.html</w:t>
        </w:r>
      </w:hyperlink>
    </w:p>
    <w:p w14:paraId="5BDDFF30"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6E93B3BE"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UNDP (2018). UNDP gender equality strategy for 2018-2021. USES.</w:t>
      </w:r>
    </w:p>
    <w:p w14:paraId="33638206" w14:textId="77777777" w:rsidR="00141070" w:rsidRPr="00967C9B" w:rsidRDefault="00A23F23" w:rsidP="00141070">
      <w:pPr>
        <w:spacing w:after="0" w:line="240" w:lineRule="auto"/>
        <w:rPr>
          <w:rFonts w:ascii="Times New Roman" w:eastAsia="Times New Roman" w:hAnsi="Times New Roman" w:cs="Times New Roman"/>
          <w:sz w:val="20"/>
          <w:szCs w:val="20"/>
          <w:lang w:eastAsia="en-CA"/>
        </w:rPr>
      </w:pPr>
      <w:hyperlink r:id="rId31" w:history="1">
        <w:r w:rsidR="00141070" w:rsidRPr="00967C9B">
          <w:rPr>
            <w:rFonts w:ascii="Calibri" w:eastAsia="Times New Roman" w:hAnsi="Calibri" w:cs="Calibri"/>
            <w:color w:val="000000"/>
            <w:sz w:val="20"/>
            <w:szCs w:val="20"/>
            <w:u w:val="single"/>
            <w:lang w:eastAsia="en-CA"/>
          </w:rPr>
          <w:t>http://undocs.org/en/DP/2017/38</w:t>
        </w:r>
      </w:hyperlink>
    </w:p>
    <w:p w14:paraId="0B7FFFB7"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4881D9A9"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 xml:space="preserve">UN Women. Training Center Glossary of Gender Equality. </w:t>
      </w:r>
      <w:hyperlink r:id="rId32" w:history="1">
        <w:r w:rsidRPr="00967C9B">
          <w:rPr>
            <w:rFonts w:ascii="Calibri" w:eastAsia="Times New Roman" w:hAnsi="Calibri" w:cs="Calibri"/>
            <w:color w:val="000000"/>
            <w:sz w:val="20"/>
            <w:szCs w:val="20"/>
            <w:u w:val="single"/>
            <w:lang w:eastAsia="en-CA"/>
          </w:rPr>
          <w:t>https://trainingcentre.unwomen.org/mod/glossary/view.php?id=150&amp;mode=letter&amp;hook=M&amp;sortkey=&amp;sortorder=asc</w:t>
        </w:r>
      </w:hyperlink>
    </w:p>
    <w:p w14:paraId="3887FB7E"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53C7D51B"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 xml:space="preserve">UNDP. (2016). How to conduct Gender Analysis, a guidance </w:t>
      </w:r>
      <w:proofErr w:type="gramStart"/>
      <w:r w:rsidRPr="00967C9B">
        <w:rPr>
          <w:rFonts w:ascii="Calibri" w:eastAsia="Times New Roman" w:hAnsi="Calibri" w:cs="Calibri"/>
          <w:color w:val="000000"/>
          <w:sz w:val="20"/>
          <w:szCs w:val="20"/>
          <w:lang w:eastAsia="en-CA"/>
        </w:rPr>
        <w:t>note</w:t>
      </w:r>
      <w:proofErr w:type="gramEnd"/>
      <w:r w:rsidRPr="00967C9B">
        <w:rPr>
          <w:rFonts w:ascii="Calibri" w:eastAsia="Times New Roman" w:hAnsi="Calibri" w:cs="Calibri"/>
          <w:color w:val="000000"/>
          <w:sz w:val="20"/>
          <w:szCs w:val="20"/>
          <w:lang w:eastAsia="en-CA"/>
        </w:rPr>
        <w:t xml:space="preserve"> for UNDP Staff. Bureau of Policy and Program Support, Gender team. USES. </w:t>
      </w:r>
      <w:hyperlink r:id="rId33" w:history="1">
        <w:r w:rsidRPr="00967C9B">
          <w:rPr>
            <w:rFonts w:ascii="Calibri" w:eastAsia="Times New Roman" w:hAnsi="Calibri" w:cs="Calibri"/>
            <w:color w:val="0000FF"/>
            <w:sz w:val="20"/>
            <w:szCs w:val="20"/>
            <w:u w:val="single"/>
            <w:lang w:eastAsia="en-CA"/>
          </w:rPr>
          <w:t>https://info.undp.org/sites/bpps/SES_Toolkit/SES%20Document%20Library/Uploaded%20October%202016/UNDP%20Guidance%20Note%20how%20to%20conduct%20a%20gender%20analysis.pdf</w:t>
        </w:r>
      </w:hyperlink>
    </w:p>
    <w:p w14:paraId="34475FD3"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p>
    <w:p w14:paraId="3133F486"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UNDP. (2017). Guidance notes. UNDP Social and Environmental Standards. Standard 6: Indigenous Peoples.  </w:t>
      </w:r>
      <w:hyperlink r:id="rId34" w:history="1">
        <w:r w:rsidRPr="00967C9B">
          <w:rPr>
            <w:rFonts w:ascii="Calibri" w:eastAsia="Times New Roman" w:hAnsi="Calibri" w:cs="Calibri"/>
            <w:color w:val="0000FF"/>
            <w:sz w:val="20"/>
            <w:szCs w:val="20"/>
            <w:u w:val="single"/>
            <w:lang w:eastAsia="en-CA"/>
          </w:rPr>
          <w:t>https://info.undp.org/sites/bpps/SES_Toolkit/SES%20Document%20Library/Uploaded%20October%202016/Final%20UNDP%20SES%20Indigenous%20Peoples%20GN_Jan2017.pdf</w:t>
        </w:r>
      </w:hyperlink>
    </w:p>
    <w:p w14:paraId="31388E79"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 xml:space="preserve"> </w:t>
      </w:r>
    </w:p>
    <w:p w14:paraId="61BE90F8" w14:textId="77777777" w:rsidR="00141070" w:rsidRPr="00967C9B" w:rsidRDefault="00141070" w:rsidP="00141070">
      <w:pPr>
        <w:spacing w:after="0" w:line="240" w:lineRule="auto"/>
        <w:rPr>
          <w:rFonts w:ascii="Times New Roman" w:eastAsia="Times New Roman" w:hAnsi="Times New Roman" w:cs="Times New Roman"/>
          <w:sz w:val="20"/>
          <w:szCs w:val="20"/>
          <w:lang w:eastAsia="en-CA"/>
        </w:rPr>
      </w:pPr>
      <w:r w:rsidRPr="00967C9B">
        <w:rPr>
          <w:rFonts w:ascii="Calibri" w:eastAsia="Times New Roman" w:hAnsi="Calibri" w:cs="Calibri"/>
          <w:color w:val="000000"/>
          <w:sz w:val="20"/>
          <w:szCs w:val="20"/>
          <w:lang w:eastAsia="en-CA"/>
        </w:rPr>
        <w:t xml:space="preserve">UNDP. Stakeholders Response mechanism: Overview and Guidance. (2014). </w:t>
      </w:r>
    </w:p>
    <w:p w14:paraId="66CC7234" w14:textId="77777777" w:rsidR="00141070" w:rsidRPr="00967C9B" w:rsidRDefault="00A23F23" w:rsidP="00141070">
      <w:pPr>
        <w:spacing w:after="0" w:line="240" w:lineRule="auto"/>
        <w:rPr>
          <w:rFonts w:ascii="Times New Roman" w:eastAsia="Times New Roman" w:hAnsi="Times New Roman" w:cs="Times New Roman"/>
          <w:sz w:val="20"/>
          <w:szCs w:val="20"/>
          <w:lang w:eastAsia="en-CA"/>
        </w:rPr>
      </w:pPr>
      <w:hyperlink r:id="rId35" w:history="1">
        <w:r w:rsidR="00141070" w:rsidRPr="00967C9B">
          <w:rPr>
            <w:rFonts w:ascii="Calibri" w:eastAsia="Times New Roman" w:hAnsi="Calibri" w:cs="Calibri"/>
            <w:color w:val="0000FF"/>
            <w:sz w:val="20"/>
            <w:szCs w:val="20"/>
            <w:u w:val="single"/>
            <w:lang w:eastAsia="en-CA"/>
          </w:rPr>
          <w:t>http://www.undp.org/content/dam/undp/library/corporate/Social-and-Environmental-Policies-and-Procedures/SRM%20Guidance%20Note%20r4.pdf</w:t>
        </w:r>
      </w:hyperlink>
    </w:p>
    <w:p w14:paraId="4C46153F" w14:textId="77777777" w:rsidR="00141070" w:rsidRPr="00967C9B" w:rsidRDefault="00141070" w:rsidP="00141070">
      <w:pPr>
        <w:spacing w:after="240" w:line="240" w:lineRule="auto"/>
        <w:rPr>
          <w:rFonts w:ascii="Times New Roman" w:eastAsia="Times New Roman" w:hAnsi="Times New Roman" w:cs="Times New Roman"/>
          <w:sz w:val="20"/>
          <w:szCs w:val="20"/>
          <w:lang w:eastAsia="en-CA"/>
        </w:rPr>
      </w:pPr>
      <w:r w:rsidRPr="00967C9B">
        <w:rPr>
          <w:rFonts w:ascii="Times New Roman" w:eastAsia="Times New Roman" w:hAnsi="Times New Roman" w:cs="Times New Roman"/>
          <w:sz w:val="20"/>
          <w:szCs w:val="20"/>
          <w:lang w:eastAsia="en-CA"/>
        </w:rPr>
        <w:br/>
      </w:r>
    </w:p>
    <w:p w14:paraId="37AA025B" w14:textId="4DAC0433" w:rsidR="00141070" w:rsidRPr="00967C9B" w:rsidRDefault="00141070" w:rsidP="00141070">
      <w:pPr>
        <w:spacing w:after="0" w:line="240" w:lineRule="auto"/>
        <w:rPr>
          <w:rFonts w:ascii="Times New Roman" w:eastAsia="Times New Roman" w:hAnsi="Times New Roman" w:cs="Times New Roman"/>
          <w:sz w:val="24"/>
          <w:szCs w:val="24"/>
          <w:lang w:eastAsia="en-CA"/>
        </w:rPr>
      </w:pPr>
    </w:p>
    <w:p w14:paraId="020CC659" w14:textId="77777777" w:rsidR="005A0AFF" w:rsidRPr="00967C9B" w:rsidRDefault="005A0AFF" w:rsidP="00141070">
      <w:pPr>
        <w:spacing w:after="0" w:line="240" w:lineRule="auto"/>
        <w:rPr>
          <w:rFonts w:ascii="Times New Roman" w:eastAsia="Times New Roman" w:hAnsi="Times New Roman" w:cs="Times New Roman"/>
          <w:sz w:val="24"/>
          <w:szCs w:val="24"/>
          <w:lang w:eastAsia="en-CA"/>
        </w:rPr>
      </w:pPr>
    </w:p>
    <w:p w14:paraId="3F21FD81" w14:textId="77777777" w:rsidR="005A0AFF" w:rsidRPr="00967C9B" w:rsidRDefault="005A0AFF" w:rsidP="00141070">
      <w:pPr>
        <w:spacing w:after="0" w:line="240" w:lineRule="auto"/>
        <w:rPr>
          <w:rFonts w:ascii="Times New Roman" w:eastAsia="Times New Roman" w:hAnsi="Times New Roman" w:cs="Times New Roman"/>
          <w:sz w:val="24"/>
          <w:szCs w:val="24"/>
          <w:lang w:eastAsia="en-CA"/>
        </w:rPr>
      </w:pPr>
    </w:p>
    <w:p w14:paraId="1607080C" w14:textId="77777777" w:rsidR="005A0AFF" w:rsidRPr="00967C9B" w:rsidRDefault="005A0AFF" w:rsidP="00141070">
      <w:pPr>
        <w:spacing w:after="0" w:line="240" w:lineRule="auto"/>
        <w:rPr>
          <w:rFonts w:ascii="Times New Roman" w:eastAsia="Times New Roman" w:hAnsi="Times New Roman" w:cs="Times New Roman"/>
          <w:sz w:val="24"/>
          <w:szCs w:val="24"/>
          <w:lang w:eastAsia="en-CA"/>
        </w:rPr>
      </w:pPr>
    </w:p>
    <w:p w14:paraId="261CCB9A" w14:textId="77777777" w:rsidR="00211C07" w:rsidRPr="00967C9B" w:rsidRDefault="00211C07" w:rsidP="00141070">
      <w:pPr>
        <w:spacing w:before="480" w:after="0" w:line="240" w:lineRule="auto"/>
        <w:outlineLvl w:val="0"/>
        <w:rPr>
          <w:rFonts w:ascii="Calibri" w:eastAsia="Times New Roman" w:hAnsi="Calibri" w:cs="Calibri"/>
          <w:b/>
          <w:bCs/>
          <w:color w:val="000000"/>
          <w:kern w:val="36"/>
          <w:sz w:val="24"/>
          <w:szCs w:val="24"/>
          <w:lang w:eastAsia="en-CA"/>
        </w:rPr>
        <w:sectPr w:rsidR="00211C07" w:rsidRPr="00967C9B" w:rsidSect="00211C07">
          <w:footerReference w:type="default" r:id="rId36"/>
          <w:pgSz w:w="12240" w:h="15840"/>
          <w:pgMar w:top="1417" w:right="1701" w:bottom="1417" w:left="1701" w:header="708" w:footer="708" w:gutter="0"/>
          <w:cols w:space="708"/>
          <w:docGrid w:linePitch="360"/>
        </w:sectPr>
      </w:pPr>
    </w:p>
    <w:p w14:paraId="698EFADD" w14:textId="0CD24720" w:rsidR="001625BC" w:rsidRDefault="003B3D5A" w:rsidP="00216D76">
      <w:pPr>
        <w:pStyle w:val="Heading1"/>
        <w:rPr>
          <w:rFonts w:ascii="Calibri" w:hAnsi="Calibri" w:cs="Calibri"/>
          <w:b w:val="0"/>
          <w:bCs w:val="0"/>
          <w:color w:val="000000"/>
          <w:sz w:val="20"/>
          <w:szCs w:val="20"/>
        </w:rPr>
      </w:pPr>
      <w:bookmarkStart w:id="73" w:name="_Toc8644451"/>
      <w:bookmarkStart w:id="74" w:name="_Toc8644553"/>
      <w:r w:rsidRPr="00967C9B">
        <w:rPr>
          <w:rFonts w:asciiTheme="minorHAnsi" w:hAnsiTheme="minorHAnsi"/>
          <w:sz w:val="24"/>
          <w:szCs w:val="24"/>
        </w:rPr>
        <w:t>10</w:t>
      </w:r>
      <w:r w:rsidR="00141070" w:rsidRPr="00967C9B">
        <w:rPr>
          <w:rFonts w:asciiTheme="minorHAnsi" w:hAnsiTheme="minorHAnsi"/>
          <w:sz w:val="24"/>
          <w:szCs w:val="24"/>
        </w:rPr>
        <w:t xml:space="preserve">)  </w:t>
      </w:r>
      <w:r w:rsidR="00D20B6E" w:rsidRPr="00967C9B">
        <w:rPr>
          <w:rFonts w:asciiTheme="minorHAnsi" w:hAnsiTheme="minorHAnsi"/>
          <w:sz w:val="24"/>
          <w:szCs w:val="24"/>
        </w:rPr>
        <w:t xml:space="preserve">Summary of </w:t>
      </w:r>
      <w:r w:rsidR="00ED791B" w:rsidRPr="00967C9B">
        <w:rPr>
          <w:rFonts w:asciiTheme="minorHAnsi" w:hAnsiTheme="minorHAnsi"/>
          <w:sz w:val="24"/>
          <w:szCs w:val="24"/>
        </w:rPr>
        <w:t xml:space="preserve">all </w:t>
      </w:r>
      <w:r w:rsidR="00441FDF" w:rsidRPr="00967C9B">
        <w:rPr>
          <w:rFonts w:asciiTheme="minorHAnsi" w:hAnsiTheme="minorHAnsi"/>
          <w:sz w:val="24"/>
          <w:szCs w:val="24"/>
        </w:rPr>
        <w:t>a</w:t>
      </w:r>
      <w:r w:rsidR="00D20B6E" w:rsidRPr="00967C9B">
        <w:rPr>
          <w:rFonts w:asciiTheme="minorHAnsi" w:hAnsiTheme="minorHAnsi"/>
          <w:sz w:val="24"/>
          <w:szCs w:val="24"/>
        </w:rPr>
        <w:t xml:space="preserve">ctivities </w:t>
      </w:r>
      <w:r w:rsidR="003D039D" w:rsidRPr="00967C9B">
        <w:rPr>
          <w:rFonts w:asciiTheme="minorHAnsi" w:hAnsiTheme="minorHAnsi"/>
          <w:sz w:val="24"/>
          <w:szCs w:val="24"/>
        </w:rPr>
        <w:t xml:space="preserve">- </w:t>
      </w:r>
      <w:r w:rsidR="00D20B6E" w:rsidRPr="00967C9B">
        <w:rPr>
          <w:rFonts w:asciiTheme="minorHAnsi" w:hAnsiTheme="minorHAnsi"/>
          <w:sz w:val="24"/>
          <w:szCs w:val="24"/>
        </w:rPr>
        <w:t xml:space="preserve">inclusion of gender </w:t>
      </w:r>
      <w:r w:rsidR="007C00D4" w:rsidRPr="00967C9B">
        <w:rPr>
          <w:rFonts w:asciiTheme="minorHAnsi" w:hAnsiTheme="minorHAnsi"/>
          <w:sz w:val="24"/>
          <w:szCs w:val="24"/>
        </w:rPr>
        <w:t xml:space="preserve">equality </w:t>
      </w:r>
      <w:r w:rsidR="00D20B6E" w:rsidRPr="00967C9B">
        <w:rPr>
          <w:rFonts w:asciiTheme="minorHAnsi" w:hAnsiTheme="minorHAnsi"/>
          <w:sz w:val="24"/>
          <w:szCs w:val="24"/>
        </w:rPr>
        <w:t xml:space="preserve">approach </w:t>
      </w:r>
      <w:r w:rsidR="003D039D" w:rsidRPr="00967C9B">
        <w:rPr>
          <w:rFonts w:asciiTheme="minorHAnsi" w:hAnsiTheme="minorHAnsi"/>
          <w:sz w:val="24"/>
          <w:szCs w:val="24"/>
        </w:rPr>
        <w:t>in the project</w:t>
      </w:r>
      <w:bookmarkEnd w:id="73"/>
      <w:bookmarkEnd w:id="74"/>
      <w:r w:rsidR="001625BC" w:rsidRPr="00967C9B">
        <w:rPr>
          <w:rFonts w:ascii="Calibri" w:hAnsi="Calibri" w:cs="Calibri"/>
          <w:b w:val="0"/>
          <w:bCs w:val="0"/>
          <w:color w:val="000000"/>
          <w:sz w:val="20"/>
          <w:szCs w:val="20"/>
        </w:rPr>
        <w:t xml:space="preserve"> </w:t>
      </w:r>
    </w:p>
    <w:p w14:paraId="79FF47DA" w14:textId="77777777" w:rsidR="00967C9B" w:rsidRPr="00967C9B" w:rsidRDefault="00967C9B" w:rsidP="00967C9B"/>
    <w:tbl>
      <w:tblPr>
        <w:tblW w:w="14520" w:type="dxa"/>
        <w:jc w:val="center"/>
        <w:tblCellMar>
          <w:left w:w="70" w:type="dxa"/>
          <w:right w:w="70" w:type="dxa"/>
        </w:tblCellMar>
        <w:tblLook w:val="04A0" w:firstRow="1" w:lastRow="0" w:firstColumn="1" w:lastColumn="0" w:noHBand="0" w:noVBand="1"/>
      </w:tblPr>
      <w:tblGrid>
        <w:gridCol w:w="1880"/>
        <w:gridCol w:w="3260"/>
        <w:gridCol w:w="3367"/>
        <w:gridCol w:w="1303"/>
        <w:gridCol w:w="1803"/>
        <w:gridCol w:w="1856"/>
        <w:gridCol w:w="1052"/>
      </w:tblGrid>
      <w:tr w:rsidR="00BD5425" w:rsidRPr="00967C9B" w14:paraId="4505CBB9" w14:textId="77777777" w:rsidTr="00967C9B">
        <w:trPr>
          <w:trHeight w:val="440"/>
          <w:tblHeader/>
          <w:jc w:val="center"/>
        </w:trPr>
        <w:tc>
          <w:tcPr>
            <w:tcW w:w="14520" w:type="dxa"/>
            <w:gridSpan w:val="7"/>
            <w:tcBorders>
              <w:top w:val="single" w:sz="4" w:space="0" w:color="auto"/>
              <w:left w:val="single" w:sz="4" w:space="0" w:color="auto"/>
              <w:bottom w:val="single" w:sz="4" w:space="0" w:color="auto"/>
              <w:right w:val="single" w:sz="4" w:space="0" w:color="auto"/>
            </w:tcBorders>
            <w:shd w:val="clear" w:color="000000" w:fill="8DB4E2"/>
            <w:noWrap/>
            <w:vAlign w:val="center"/>
            <w:hideMark/>
          </w:tcPr>
          <w:p w14:paraId="67911CAB"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Inclusion of the gender equality approach in PRODOC Mira-</w:t>
            </w:r>
            <w:proofErr w:type="spellStart"/>
            <w:r w:rsidRPr="00967C9B">
              <w:rPr>
                <w:rFonts w:cstheme="minorHAnsi"/>
                <w:sz w:val="18"/>
                <w:szCs w:val="18"/>
                <w:lang w:eastAsia="es-ES"/>
              </w:rPr>
              <w:t>Mataje</w:t>
            </w:r>
            <w:proofErr w:type="spellEnd"/>
            <w:r w:rsidRPr="00967C9B">
              <w:rPr>
                <w:rFonts w:cstheme="minorHAnsi"/>
                <w:sz w:val="18"/>
                <w:szCs w:val="18"/>
                <w:lang w:eastAsia="es-ES"/>
              </w:rPr>
              <w:t xml:space="preserve"> Carchi-</w:t>
            </w:r>
            <w:proofErr w:type="spellStart"/>
            <w:r w:rsidRPr="00967C9B">
              <w:rPr>
                <w:rFonts w:cstheme="minorHAnsi"/>
                <w:sz w:val="18"/>
                <w:szCs w:val="18"/>
                <w:lang w:eastAsia="es-ES"/>
              </w:rPr>
              <w:t>Guaitara</w:t>
            </w:r>
            <w:proofErr w:type="spellEnd"/>
          </w:p>
        </w:tc>
      </w:tr>
      <w:tr w:rsidR="00BD5425" w:rsidRPr="00967C9B" w14:paraId="0E0A1E3F" w14:textId="77777777" w:rsidTr="00967C9B">
        <w:trPr>
          <w:trHeight w:val="500"/>
          <w:tblHeader/>
          <w:jc w:val="center"/>
        </w:trPr>
        <w:tc>
          <w:tcPr>
            <w:tcW w:w="18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655ED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Where is it integrated? </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4F1EA"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Description</w:t>
            </w:r>
          </w:p>
        </w:tc>
        <w:tc>
          <w:tcPr>
            <w:tcW w:w="33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18F9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How it is integrated</w:t>
            </w:r>
          </w:p>
        </w:tc>
        <w:tc>
          <w:tcPr>
            <w:tcW w:w="11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EC88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Baseline</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FEFA9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Timeline</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E06B1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Means of verification /or indicator</w:t>
            </w: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A25D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Budget</w:t>
            </w:r>
          </w:p>
        </w:tc>
      </w:tr>
      <w:tr w:rsidR="00BD5425" w:rsidRPr="00967C9B" w14:paraId="19A419D5" w14:textId="77777777" w:rsidTr="00967C9B">
        <w:trPr>
          <w:trHeight w:val="540"/>
          <w:jc w:val="center"/>
        </w:trPr>
        <w:tc>
          <w:tcPr>
            <w:tcW w:w="14520" w:type="dxa"/>
            <w:gridSpan w:val="7"/>
            <w:tcBorders>
              <w:top w:val="single" w:sz="4" w:space="0" w:color="auto"/>
              <w:left w:val="single" w:sz="4" w:space="0" w:color="auto"/>
              <w:bottom w:val="nil"/>
              <w:right w:val="single" w:sz="4" w:space="0" w:color="auto"/>
            </w:tcBorders>
            <w:shd w:val="clear" w:color="000000" w:fill="DCE6F1"/>
            <w:vAlign w:val="center"/>
            <w:hideMark/>
          </w:tcPr>
          <w:p w14:paraId="3536FD67"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the process of designing the PRODOC</w:t>
            </w:r>
          </w:p>
        </w:tc>
      </w:tr>
      <w:tr w:rsidR="00BD5425" w:rsidRPr="00967C9B" w14:paraId="0CA7BE0C" w14:textId="77777777" w:rsidTr="00967C9B">
        <w:trPr>
          <w:trHeight w:val="700"/>
          <w:jc w:val="center"/>
        </w:trPr>
        <w:tc>
          <w:tcPr>
            <w:tcW w:w="188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77FC9C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Design of PRODOC</w:t>
            </w:r>
          </w:p>
        </w:tc>
        <w:tc>
          <w:tcPr>
            <w:tcW w:w="326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C6DE457"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Integration of specialists in the elaboration of the PRODOC</w:t>
            </w:r>
          </w:p>
        </w:tc>
        <w:tc>
          <w:tcPr>
            <w:tcW w:w="3367" w:type="dxa"/>
            <w:tcBorders>
              <w:top w:val="single" w:sz="8" w:space="0" w:color="000000"/>
              <w:left w:val="nil"/>
              <w:bottom w:val="single" w:sz="8" w:space="0" w:color="000000"/>
              <w:right w:val="single" w:sz="8" w:space="0" w:color="000000"/>
            </w:tcBorders>
            <w:shd w:val="clear" w:color="auto" w:fill="auto"/>
            <w:vAlign w:val="center"/>
            <w:hideMark/>
          </w:tcPr>
          <w:p w14:paraId="6EDDA4C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With the participation of specialists in gender equality issues</w:t>
            </w:r>
          </w:p>
        </w:tc>
        <w:tc>
          <w:tcPr>
            <w:tcW w:w="1193" w:type="dxa"/>
            <w:tcBorders>
              <w:top w:val="single" w:sz="8" w:space="0" w:color="000000"/>
              <w:left w:val="nil"/>
              <w:bottom w:val="single" w:sz="8" w:space="0" w:color="000000"/>
              <w:right w:val="single" w:sz="8" w:space="0" w:color="000000"/>
            </w:tcBorders>
            <w:shd w:val="clear" w:color="auto" w:fill="auto"/>
            <w:vAlign w:val="center"/>
            <w:hideMark/>
          </w:tcPr>
          <w:p w14:paraId="4807A24A"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N/A</w:t>
            </w:r>
          </w:p>
        </w:tc>
        <w:tc>
          <w:tcPr>
            <w:tcW w:w="1900" w:type="dxa"/>
            <w:tcBorders>
              <w:top w:val="single" w:sz="8" w:space="0" w:color="000000"/>
              <w:left w:val="nil"/>
              <w:bottom w:val="single" w:sz="8" w:space="0" w:color="000000"/>
              <w:right w:val="single" w:sz="8" w:space="0" w:color="000000"/>
            </w:tcBorders>
            <w:shd w:val="clear" w:color="auto" w:fill="auto"/>
            <w:vAlign w:val="center"/>
            <w:hideMark/>
          </w:tcPr>
          <w:p w14:paraId="67E9C0A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the conformation of the team for the PRODOC formulation</w:t>
            </w:r>
          </w:p>
        </w:tc>
        <w:tc>
          <w:tcPr>
            <w:tcW w:w="1920" w:type="dxa"/>
            <w:tcBorders>
              <w:top w:val="single" w:sz="8" w:space="0" w:color="000000"/>
              <w:left w:val="nil"/>
              <w:bottom w:val="single" w:sz="8" w:space="0" w:color="000000"/>
              <w:right w:val="single" w:sz="8" w:space="0" w:color="000000"/>
            </w:tcBorders>
            <w:shd w:val="clear" w:color="auto" w:fill="auto"/>
            <w:vAlign w:val="center"/>
            <w:hideMark/>
          </w:tcPr>
          <w:p w14:paraId="0D91BE3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Contract of specialists</w:t>
            </w:r>
          </w:p>
        </w:tc>
        <w:tc>
          <w:tcPr>
            <w:tcW w:w="1000" w:type="dxa"/>
            <w:tcBorders>
              <w:top w:val="single" w:sz="8" w:space="0" w:color="000000"/>
              <w:left w:val="nil"/>
              <w:bottom w:val="single" w:sz="8" w:space="0" w:color="000000"/>
              <w:right w:val="single" w:sz="4" w:space="0" w:color="auto"/>
            </w:tcBorders>
            <w:shd w:val="clear" w:color="auto" w:fill="auto"/>
            <w:vAlign w:val="center"/>
            <w:hideMark/>
          </w:tcPr>
          <w:p w14:paraId="2B3ADFC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504D3A93" w14:textId="77777777" w:rsidTr="00967C9B">
        <w:trPr>
          <w:trHeight w:val="960"/>
          <w:jc w:val="center"/>
        </w:trPr>
        <w:tc>
          <w:tcPr>
            <w:tcW w:w="1880" w:type="dxa"/>
            <w:vMerge/>
            <w:tcBorders>
              <w:top w:val="single" w:sz="8" w:space="0" w:color="auto"/>
              <w:left w:val="single" w:sz="4" w:space="0" w:color="auto"/>
              <w:bottom w:val="single" w:sz="4" w:space="0" w:color="auto"/>
              <w:right w:val="single" w:sz="4" w:space="0" w:color="auto"/>
            </w:tcBorders>
            <w:vAlign w:val="center"/>
            <w:hideMark/>
          </w:tcPr>
          <w:p w14:paraId="1A32834A" w14:textId="77777777" w:rsidR="00BD5425" w:rsidRPr="00967C9B" w:rsidRDefault="00BD5425" w:rsidP="00967C9B">
            <w:pPr>
              <w:rPr>
                <w:rFonts w:cstheme="minorHAnsi"/>
                <w:sz w:val="18"/>
                <w:szCs w:val="18"/>
                <w:lang w:eastAsia="es-ES"/>
              </w:rPr>
            </w:pPr>
          </w:p>
        </w:tc>
        <w:tc>
          <w:tcPr>
            <w:tcW w:w="3260" w:type="dxa"/>
            <w:tcBorders>
              <w:top w:val="nil"/>
              <w:left w:val="single" w:sz="8" w:space="0" w:color="000000"/>
              <w:bottom w:val="nil"/>
              <w:right w:val="single" w:sz="8" w:space="0" w:color="000000"/>
            </w:tcBorders>
            <w:shd w:val="clear" w:color="auto" w:fill="auto"/>
            <w:vAlign w:val="center"/>
            <w:hideMark/>
          </w:tcPr>
          <w:p w14:paraId="1EE378D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Selection of participants with gender balance of the project construction workshops</w:t>
            </w:r>
          </w:p>
        </w:tc>
        <w:tc>
          <w:tcPr>
            <w:tcW w:w="3367" w:type="dxa"/>
            <w:tcBorders>
              <w:top w:val="nil"/>
              <w:left w:val="nil"/>
              <w:bottom w:val="nil"/>
              <w:right w:val="single" w:sz="8" w:space="0" w:color="000000"/>
            </w:tcBorders>
            <w:shd w:val="clear" w:color="auto" w:fill="auto"/>
            <w:vAlign w:val="center"/>
            <w:hideMark/>
          </w:tcPr>
          <w:p w14:paraId="179E8F9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Invitations are given to workshops with a gender balance. Participation by sex was disaggregated. </w:t>
            </w:r>
          </w:p>
        </w:tc>
        <w:tc>
          <w:tcPr>
            <w:tcW w:w="1193" w:type="dxa"/>
            <w:tcBorders>
              <w:top w:val="nil"/>
              <w:left w:val="nil"/>
              <w:bottom w:val="nil"/>
              <w:right w:val="single" w:sz="8" w:space="0" w:color="000000"/>
            </w:tcBorders>
            <w:shd w:val="clear" w:color="auto" w:fill="auto"/>
            <w:vAlign w:val="center"/>
            <w:hideMark/>
          </w:tcPr>
          <w:p w14:paraId="38F861E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N/A</w:t>
            </w:r>
          </w:p>
        </w:tc>
        <w:tc>
          <w:tcPr>
            <w:tcW w:w="1900" w:type="dxa"/>
            <w:tcBorders>
              <w:top w:val="nil"/>
              <w:left w:val="nil"/>
              <w:bottom w:val="nil"/>
              <w:right w:val="single" w:sz="8" w:space="0" w:color="000000"/>
            </w:tcBorders>
            <w:shd w:val="clear" w:color="auto" w:fill="auto"/>
            <w:vAlign w:val="center"/>
            <w:hideMark/>
          </w:tcPr>
          <w:p w14:paraId="2BD011D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During the construction of the PRODOC</w:t>
            </w:r>
          </w:p>
        </w:tc>
        <w:tc>
          <w:tcPr>
            <w:tcW w:w="1920" w:type="dxa"/>
            <w:tcBorders>
              <w:top w:val="nil"/>
              <w:left w:val="nil"/>
              <w:bottom w:val="nil"/>
              <w:right w:val="single" w:sz="8" w:space="0" w:color="000000"/>
            </w:tcBorders>
            <w:shd w:val="clear" w:color="auto" w:fill="auto"/>
            <w:vAlign w:val="center"/>
            <w:hideMark/>
          </w:tcPr>
          <w:p w14:paraId="684A214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Participation lists disaggregated by sex</w:t>
            </w:r>
          </w:p>
        </w:tc>
        <w:tc>
          <w:tcPr>
            <w:tcW w:w="1000" w:type="dxa"/>
            <w:tcBorders>
              <w:top w:val="nil"/>
              <w:left w:val="nil"/>
              <w:bottom w:val="nil"/>
              <w:right w:val="single" w:sz="4" w:space="0" w:color="auto"/>
            </w:tcBorders>
            <w:shd w:val="clear" w:color="auto" w:fill="auto"/>
            <w:vAlign w:val="center"/>
            <w:hideMark/>
          </w:tcPr>
          <w:p w14:paraId="7EEC74E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7BC755BE" w14:textId="77777777" w:rsidTr="00967C9B">
        <w:trPr>
          <w:trHeight w:val="440"/>
          <w:jc w:val="center"/>
        </w:trPr>
        <w:tc>
          <w:tcPr>
            <w:tcW w:w="14520" w:type="dxa"/>
            <w:gridSpan w:val="7"/>
            <w:tcBorders>
              <w:top w:val="single" w:sz="8" w:space="0" w:color="auto"/>
              <w:left w:val="single" w:sz="4" w:space="0" w:color="auto"/>
              <w:bottom w:val="single" w:sz="8" w:space="0" w:color="auto"/>
              <w:right w:val="single" w:sz="4" w:space="0" w:color="auto"/>
            </w:tcBorders>
            <w:shd w:val="clear" w:color="000000" w:fill="DCE6F1"/>
            <w:vAlign w:val="center"/>
            <w:hideMark/>
          </w:tcPr>
          <w:p w14:paraId="3DCCFB0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the context and background</w:t>
            </w:r>
          </w:p>
        </w:tc>
      </w:tr>
      <w:tr w:rsidR="00BD5425" w:rsidRPr="00967C9B" w14:paraId="49E0C9BA" w14:textId="77777777" w:rsidTr="00967C9B">
        <w:trPr>
          <w:trHeight w:val="900"/>
          <w:jc w:val="center"/>
        </w:trPr>
        <w:tc>
          <w:tcPr>
            <w:tcW w:w="1880"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2931532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Gender Diagnosis</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14:paraId="645100F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A gender diagnosis is </w:t>
            </w:r>
            <w:proofErr w:type="gramStart"/>
            <w:r w:rsidRPr="00967C9B">
              <w:rPr>
                <w:rFonts w:cstheme="minorHAnsi"/>
                <w:sz w:val="18"/>
                <w:szCs w:val="18"/>
                <w:lang w:eastAsia="es-ES"/>
              </w:rPr>
              <w:t>made</w:t>
            </w:r>
            <w:proofErr w:type="gramEnd"/>
            <w:r w:rsidRPr="00967C9B">
              <w:rPr>
                <w:rFonts w:cstheme="minorHAnsi"/>
                <w:sz w:val="18"/>
                <w:szCs w:val="18"/>
                <w:lang w:eastAsia="es-ES"/>
              </w:rPr>
              <w:t xml:space="preserve"> and intervention conditions are identified</w:t>
            </w:r>
          </w:p>
        </w:tc>
        <w:tc>
          <w:tcPr>
            <w:tcW w:w="3367" w:type="dxa"/>
            <w:tcBorders>
              <w:top w:val="single" w:sz="8" w:space="0" w:color="000000"/>
              <w:left w:val="nil"/>
              <w:bottom w:val="single" w:sz="8" w:space="0" w:color="000000"/>
              <w:right w:val="single" w:sz="8" w:space="0" w:color="000000"/>
            </w:tcBorders>
            <w:shd w:val="clear" w:color="auto" w:fill="auto"/>
            <w:vAlign w:val="center"/>
            <w:hideMark/>
          </w:tcPr>
          <w:p w14:paraId="129F349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The information of the findings is integrated in context and the PRODOC design </w:t>
            </w:r>
          </w:p>
        </w:tc>
        <w:tc>
          <w:tcPr>
            <w:tcW w:w="1193" w:type="dxa"/>
            <w:tcBorders>
              <w:top w:val="single" w:sz="8" w:space="0" w:color="000000"/>
              <w:left w:val="nil"/>
              <w:bottom w:val="single" w:sz="8" w:space="0" w:color="000000"/>
              <w:right w:val="single" w:sz="8" w:space="0" w:color="000000"/>
            </w:tcBorders>
            <w:shd w:val="clear" w:color="auto" w:fill="auto"/>
            <w:vAlign w:val="center"/>
            <w:hideMark/>
          </w:tcPr>
          <w:p w14:paraId="00B04591"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N/A</w:t>
            </w:r>
          </w:p>
        </w:tc>
        <w:tc>
          <w:tcPr>
            <w:tcW w:w="1900" w:type="dxa"/>
            <w:tcBorders>
              <w:top w:val="single" w:sz="8" w:space="0" w:color="000000"/>
              <w:left w:val="nil"/>
              <w:bottom w:val="single" w:sz="8" w:space="0" w:color="000000"/>
              <w:right w:val="single" w:sz="8" w:space="0" w:color="000000"/>
            </w:tcBorders>
            <w:shd w:val="clear" w:color="auto" w:fill="auto"/>
            <w:vAlign w:val="center"/>
            <w:hideMark/>
          </w:tcPr>
          <w:p w14:paraId="05698992"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During the construction of the PRODOC</w:t>
            </w:r>
          </w:p>
        </w:tc>
        <w:tc>
          <w:tcPr>
            <w:tcW w:w="1920" w:type="dxa"/>
            <w:tcBorders>
              <w:top w:val="single" w:sz="8" w:space="0" w:color="000000"/>
              <w:left w:val="nil"/>
              <w:bottom w:val="single" w:sz="8" w:space="0" w:color="000000"/>
              <w:right w:val="single" w:sz="8" w:space="0" w:color="000000"/>
            </w:tcBorders>
            <w:shd w:val="clear" w:color="auto" w:fill="auto"/>
            <w:vAlign w:val="center"/>
            <w:hideMark/>
          </w:tcPr>
          <w:p w14:paraId="3CCF5AD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Diagnostic document</w:t>
            </w:r>
          </w:p>
        </w:tc>
        <w:tc>
          <w:tcPr>
            <w:tcW w:w="1000" w:type="dxa"/>
            <w:tcBorders>
              <w:top w:val="nil"/>
              <w:left w:val="nil"/>
              <w:bottom w:val="nil"/>
              <w:right w:val="single" w:sz="4" w:space="0" w:color="auto"/>
            </w:tcBorders>
            <w:shd w:val="clear" w:color="auto" w:fill="auto"/>
            <w:vAlign w:val="center"/>
            <w:hideMark/>
          </w:tcPr>
          <w:p w14:paraId="79DDB7CA"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70F5D72D" w14:textId="77777777" w:rsidTr="00967C9B">
        <w:trPr>
          <w:trHeight w:val="500"/>
          <w:jc w:val="center"/>
        </w:trPr>
        <w:tc>
          <w:tcPr>
            <w:tcW w:w="14520" w:type="dxa"/>
            <w:gridSpan w:val="7"/>
            <w:tcBorders>
              <w:top w:val="single" w:sz="8" w:space="0" w:color="auto"/>
              <w:left w:val="single" w:sz="4" w:space="0" w:color="auto"/>
              <w:bottom w:val="single" w:sz="8" w:space="0" w:color="auto"/>
              <w:right w:val="single" w:sz="4" w:space="0" w:color="auto"/>
            </w:tcBorders>
            <w:shd w:val="clear" w:color="000000" w:fill="8DB4E2"/>
            <w:noWrap/>
            <w:vAlign w:val="center"/>
            <w:hideMark/>
          </w:tcPr>
          <w:p w14:paraId="4FA7BC7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For the execution of the Project</w:t>
            </w:r>
          </w:p>
        </w:tc>
      </w:tr>
      <w:tr w:rsidR="00BD5425" w:rsidRPr="00967C9B" w14:paraId="7800D673" w14:textId="77777777" w:rsidTr="00967C9B">
        <w:trPr>
          <w:trHeight w:val="460"/>
          <w:jc w:val="center"/>
        </w:trPr>
        <w:tc>
          <w:tcPr>
            <w:tcW w:w="14520" w:type="dxa"/>
            <w:gridSpan w:val="7"/>
            <w:tcBorders>
              <w:top w:val="single" w:sz="8" w:space="0" w:color="auto"/>
              <w:left w:val="single" w:sz="4" w:space="0" w:color="auto"/>
              <w:bottom w:val="single" w:sz="8" w:space="0" w:color="auto"/>
              <w:right w:val="single" w:sz="4" w:space="0" w:color="auto"/>
            </w:tcBorders>
            <w:shd w:val="clear" w:color="000000" w:fill="DCE6F1"/>
            <w:vAlign w:val="center"/>
            <w:hideMark/>
          </w:tcPr>
          <w:p w14:paraId="224CD12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Project Outcomes</w:t>
            </w:r>
          </w:p>
        </w:tc>
      </w:tr>
      <w:tr w:rsidR="00BD5425" w:rsidRPr="00967C9B" w14:paraId="3ECAB9E7" w14:textId="77777777" w:rsidTr="00967C9B">
        <w:trPr>
          <w:trHeight w:val="1040"/>
          <w:jc w:val="center"/>
        </w:trPr>
        <w:tc>
          <w:tcPr>
            <w:tcW w:w="1880" w:type="dxa"/>
            <w:vMerge w:val="restart"/>
            <w:tcBorders>
              <w:top w:val="nil"/>
              <w:left w:val="single" w:sz="4" w:space="0" w:color="auto"/>
              <w:bottom w:val="single" w:sz="4" w:space="0" w:color="auto"/>
              <w:right w:val="single" w:sz="8" w:space="0" w:color="000000"/>
            </w:tcBorders>
            <w:shd w:val="clear" w:color="auto" w:fill="auto"/>
            <w:vAlign w:val="center"/>
            <w:hideMark/>
          </w:tcPr>
          <w:p w14:paraId="533001B2"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Outcome 1: Elaboration of TDA</w:t>
            </w:r>
          </w:p>
        </w:tc>
        <w:tc>
          <w:tcPr>
            <w:tcW w:w="3260" w:type="dxa"/>
            <w:tcBorders>
              <w:top w:val="single" w:sz="8" w:space="0" w:color="000000"/>
              <w:left w:val="nil"/>
              <w:bottom w:val="single" w:sz="4" w:space="0" w:color="auto"/>
              <w:right w:val="single" w:sz="8" w:space="0" w:color="000000"/>
            </w:tcBorders>
            <w:shd w:val="clear" w:color="auto" w:fill="auto"/>
            <w:vAlign w:val="center"/>
            <w:hideMark/>
          </w:tcPr>
          <w:p w14:paraId="73BDF6A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In the collection and organization of existing information on issues related to gender equality and participation, which contributes to the TDA. </w:t>
            </w:r>
          </w:p>
        </w:tc>
        <w:tc>
          <w:tcPr>
            <w:tcW w:w="3367" w:type="dxa"/>
            <w:tcBorders>
              <w:top w:val="single" w:sz="8" w:space="0" w:color="000000"/>
              <w:left w:val="nil"/>
              <w:bottom w:val="single" w:sz="4" w:space="0" w:color="auto"/>
              <w:right w:val="single" w:sz="8" w:space="0" w:color="000000"/>
            </w:tcBorders>
            <w:shd w:val="clear" w:color="auto" w:fill="auto"/>
            <w:vAlign w:val="center"/>
            <w:hideMark/>
          </w:tcPr>
          <w:p w14:paraId="59AD7C6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With the contract of a consultant for gathering information and issues of gender equality and participation</w:t>
            </w:r>
          </w:p>
        </w:tc>
        <w:tc>
          <w:tcPr>
            <w:tcW w:w="1193" w:type="dxa"/>
            <w:tcBorders>
              <w:top w:val="single" w:sz="8" w:space="0" w:color="000000"/>
              <w:left w:val="nil"/>
              <w:bottom w:val="single" w:sz="4" w:space="0" w:color="auto"/>
              <w:right w:val="single" w:sz="8" w:space="0" w:color="000000"/>
            </w:tcBorders>
            <w:shd w:val="clear" w:color="auto" w:fill="auto"/>
            <w:vAlign w:val="center"/>
            <w:hideMark/>
          </w:tcPr>
          <w:p w14:paraId="6F8B4E51"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Information gathered for the PRODOC elaboration.</w:t>
            </w:r>
          </w:p>
        </w:tc>
        <w:tc>
          <w:tcPr>
            <w:tcW w:w="1900" w:type="dxa"/>
            <w:tcBorders>
              <w:top w:val="single" w:sz="8" w:space="0" w:color="000000"/>
              <w:left w:val="nil"/>
              <w:bottom w:val="single" w:sz="4" w:space="0" w:color="auto"/>
              <w:right w:val="single" w:sz="8" w:space="0" w:color="000000"/>
            </w:tcBorders>
            <w:shd w:val="clear" w:color="auto" w:fill="auto"/>
            <w:vAlign w:val="center"/>
            <w:hideMark/>
          </w:tcPr>
          <w:p w14:paraId="4E4868C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execution of Project Outcome 1(year 1)</w:t>
            </w:r>
          </w:p>
        </w:tc>
        <w:tc>
          <w:tcPr>
            <w:tcW w:w="1920" w:type="dxa"/>
            <w:tcBorders>
              <w:top w:val="single" w:sz="8" w:space="0" w:color="000000"/>
              <w:left w:val="nil"/>
              <w:bottom w:val="single" w:sz="4" w:space="0" w:color="auto"/>
              <w:right w:val="single" w:sz="8" w:space="0" w:color="000000"/>
            </w:tcBorders>
            <w:shd w:val="clear" w:color="auto" w:fill="auto"/>
            <w:vAlign w:val="center"/>
            <w:hideMark/>
          </w:tcPr>
          <w:p w14:paraId="4AE8246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Contract of specialist</w:t>
            </w:r>
          </w:p>
        </w:tc>
        <w:tc>
          <w:tcPr>
            <w:tcW w:w="1000" w:type="dxa"/>
            <w:tcBorders>
              <w:top w:val="single" w:sz="8" w:space="0" w:color="000000"/>
              <w:left w:val="nil"/>
              <w:bottom w:val="single" w:sz="4" w:space="0" w:color="auto"/>
              <w:right w:val="single" w:sz="4" w:space="0" w:color="auto"/>
            </w:tcBorders>
            <w:shd w:val="clear" w:color="auto" w:fill="auto"/>
            <w:vAlign w:val="center"/>
            <w:hideMark/>
          </w:tcPr>
          <w:p w14:paraId="46C997A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7,000.00 </w:t>
            </w:r>
          </w:p>
        </w:tc>
      </w:tr>
      <w:tr w:rsidR="00BD5425" w:rsidRPr="00967C9B" w14:paraId="3C51C4B0" w14:textId="77777777" w:rsidTr="00967C9B">
        <w:trPr>
          <w:trHeight w:val="2080"/>
          <w:jc w:val="center"/>
        </w:trPr>
        <w:tc>
          <w:tcPr>
            <w:tcW w:w="1880" w:type="dxa"/>
            <w:vMerge/>
            <w:tcBorders>
              <w:top w:val="single" w:sz="4" w:space="0" w:color="auto"/>
              <w:left w:val="single" w:sz="4" w:space="0" w:color="auto"/>
              <w:bottom w:val="single" w:sz="4" w:space="0" w:color="auto"/>
              <w:right w:val="single" w:sz="4" w:space="0" w:color="auto"/>
            </w:tcBorders>
            <w:vAlign w:val="center"/>
            <w:hideMark/>
          </w:tcPr>
          <w:p w14:paraId="024AB886" w14:textId="77777777" w:rsidR="00BD5425" w:rsidRPr="00967C9B" w:rsidRDefault="00BD5425" w:rsidP="00967C9B">
            <w:pPr>
              <w:rPr>
                <w:rFonts w:cstheme="minorHAnsi"/>
                <w:sz w:val="18"/>
                <w:szCs w:val="18"/>
                <w:lang w:eastAsia="es-ES"/>
              </w:rPr>
            </w:pP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95ABD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Basic study on gender and participation in the study basins which will include: a) Study on governance of water and irrigation boards with a gender approach and intercultural analysis; b) research on successful case management of water and irrigation boards, organizational mechanisms, participation and representation; conflict resolution.</w:t>
            </w:r>
          </w:p>
        </w:tc>
        <w:tc>
          <w:tcPr>
            <w:tcW w:w="3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EE5C0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With the results and findings of the analysis of the water boards on gender equality (conditions for participation of women, men and youth, and intercultural approach)</w:t>
            </w:r>
          </w:p>
        </w:tc>
        <w:tc>
          <w:tcPr>
            <w:tcW w:w="11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D723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Information gathered for the PRODOC elaboration.</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23985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execution of Project Outcome 1 (year 1)</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97F01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Results of the study</w:t>
            </w: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E160F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25,000.00 </w:t>
            </w:r>
          </w:p>
        </w:tc>
      </w:tr>
      <w:tr w:rsidR="00BD5425" w:rsidRPr="00967C9B" w14:paraId="75A1741C" w14:textId="77777777" w:rsidTr="00967C9B">
        <w:trPr>
          <w:trHeight w:val="920"/>
          <w:jc w:val="center"/>
        </w:trPr>
        <w:tc>
          <w:tcPr>
            <w:tcW w:w="1880" w:type="dxa"/>
            <w:vMerge w:val="restart"/>
            <w:tcBorders>
              <w:top w:val="single" w:sz="4" w:space="0" w:color="auto"/>
              <w:left w:val="single" w:sz="4" w:space="0" w:color="auto"/>
              <w:bottom w:val="single" w:sz="8" w:space="0" w:color="000000"/>
              <w:right w:val="single" w:sz="8" w:space="0" w:color="000000"/>
            </w:tcBorders>
            <w:shd w:val="clear" w:color="auto" w:fill="auto"/>
            <w:vAlign w:val="center"/>
            <w:hideMark/>
          </w:tcPr>
          <w:p w14:paraId="27F36F6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Outcome 2- Preparation of SAP</w:t>
            </w:r>
          </w:p>
        </w:tc>
        <w:tc>
          <w:tcPr>
            <w:tcW w:w="3260" w:type="dxa"/>
            <w:tcBorders>
              <w:top w:val="single" w:sz="4" w:space="0" w:color="auto"/>
              <w:left w:val="nil"/>
              <w:bottom w:val="single" w:sz="8" w:space="0" w:color="000000"/>
              <w:right w:val="single" w:sz="8" w:space="0" w:color="000000"/>
            </w:tcBorders>
            <w:shd w:val="clear" w:color="auto" w:fill="auto"/>
            <w:vAlign w:val="center"/>
            <w:hideMark/>
          </w:tcPr>
          <w:p w14:paraId="41067A1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Integration of women in the SAP Development Team</w:t>
            </w:r>
          </w:p>
        </w:tc>
        <w:tc>
          <w:tcPr>
            <w:tcW w:w="3367" w:type="dxa"/>
            <w:tcBorders>
              <w:top w:val="single" w:sz="4" w:space="0" w:color="auto"/>
              <w:left w:val="nil"/>
              <w:bottom w:val="single" w:sz="8" w:space="0" w:color="000000"/>
              <w:right w:val="single" w:sz="8" w:space="0" w:color="000000"/>
            </w:tcBorders>
            <w:shd w:val="clear" w:color="auto" w:fill="auto"/>
            <w:vAlign w:val="center"/>
            <w:hideMark/>
          </w:tcPr>
          <w:p w14:paraId="3087C2B7"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40% minimum gender balance in a team formation is integrated</w:t>
            </w:r>
          </w:p>
        </w:tc>
        <w:tc>
          <w:tcPr>
            <w:tcW w:w="1193" w:type="dxa"/>
            <w:tcBorders>
              <w:top w:val="single" w:sz="4" w:space="0" w:color="auto"/>
              <w:left w:val="nil"/>
              <w:bottom w:val="single" w:sz="8" w:space="0" w:color="000000"/>
              <w:right w:val="single" w:sz="8" w:space="0" w:color="000000"/>
            </w:tcBorders>
            <w:shd w:val="clear" w:color="auto" w:fill="auto"/>
            <w:vAlign w:val="center"/>
            <w:hideMark/>
          </w:tcPr>
          <w:p w14:paraId="6345BCF2"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Development team is not conformed</w:t>
            </w:r>
          </w:p>
        </w:tc>
        <w:tc>
          <w:tcPr>
            <w:tcW w:w="1900" w:type="dxa"/>
            <w:tcBorders>
              <w:top w:val="single" w:sz="4" w:space="0" w:color="auto"/>
              <w:left w:val="nil"/>
              <w:bottom w:val="single" w:sz="8" w:space="0" w:color="000000"/>
              <w:right w:val="single" w:sz="8" w:space="0" w:color="000000"/>
            </w:tcBorders>
            <w:shd w:val="clear" w:color="auto" w:fill="auto"/>
            <w:vAlign w:val="center"/>
            <w:hideMark/>
          </w:tcPr>
          <w:p w14:paraId="056E814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execution of Project Outcome 2 (year 2)</w:t>
            </w:r>
          </w:p>
        </w:tc>
        <w:tc>
          <w:tcPr>
            <w:tcW w:w="1920" w:type="dxa"/>
            <w:tcBorders>
              <w:top w:val="single" w:sz="4" w:space="0" w:color="auto"/>
              <w:left w:val="nil"/>
              <w:bottom w:val="single" w:sz="8" w:space="0" w:color="000000"/>
              <w:right w:val="single" w:sz="8" w:space="0" w:color="000000"/>
            </w:tcBorders>
            <w:shd w:val="clear" w:color="auto" w:fill="auto"/>
            <w:vAlign w:val="center"/>
            <w:hideMark/>
          </w:tcPr>
          <w:p w14:paraId="7B627A2C"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Memoirs and records of participation / 40% of women registered as part of the SAP team</w:t>
            </w:r>
          </w:p>
        </w:tc>
        <w:tc>
          <w:tcPr>
            <w:tcW w:w="1000" w:type="dxa"/>
            <w:tcBorders>
              <w:top w:val="single" w:sz="4" w:space="0" w:color="auto"/>
              <w:left w:val="nil"/>
              <w:bottom w:val="single" w:sz="8" w:space="0" w:color="000000"/>
              <w:right w:val="single" w:sz="4" w:space="0" w:color="auto"/>
            </w:tcBorders>
            <w:shd w:val="clear" w:color="auto" w:fill="auto"/>
            <w:vAlign w:val="center"/>
            <w:hideMark/>
          </w:tcPr>
          <w:p w14:paraId="0BF5F41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782A02F9" w14:textId="77777777" w:rsidTr="00967C9B">
        <w:trPr>
          <w:trHeight w:val="1700"/>
          <w:jc w:val="center"/>
        </w:trPr>
        <w:tc>
          <w:tcPr>
            <w:tcW w:w="1880" w:type="dxa"/>
            <w:vMerge/>
            <w:tcBorders>
              <w:top w:val="nil"/>
              <w:left w:val="single" w:sz="4" w:space="0" w:color="auto"/>
              <w:bottom w:val="single" w:sz="8" w:space="0" w:color="000000"/>
              <w:right w:val="single" w:sz="8" w:space="0" w:color="000000"/>
            </w:tcBorders>
            <w:vAlign w:val="center"/>
            <w:hideMark/>
          </w:tcPr>
          <w:p w14:paraId="4DF05600" w14:textId="77777777" w:rsidR="00BD5425" w:rsidRPr="00967C9B" w:rsidRDefault="00BD5425" w:rsidP="00967C9B">
            <w:pPr>
              <w:rPr>
                <w:rFonts w:cstheme="minorHAnsi"/>
                <w:sz w:val="18"/>
                <w:szCs w:val="18"/>
                <w:lang w:eastAsia="es-ES"/>
              </w:rPr>
            </w:pPr>
          </w:p>
        </w:tc>
        <w:tc>
          <w:tcPr>
            <w:tcW w:w="3260" w:type="dxa"/>
            <w:tcBorders>
              <w:top w:val="nil"/>
              <w:left w:val="nil"/>
              <w:bottom w:val="single" w:sz="8" w:space="0" w:color="000000"/>
              <w:right w:val="single" w:sz="8" w:space="0" w:color="000000"/>
            </w:tcBorders>
            <w:shd w:val="clear" w:color="auto" w:fill="auto"/>
            <w:vAlign w:val="center"/>
            <w:hideMark/>
          </w:tcPr>
          <w:p w14:paraId="1820135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the consultation of the vision, goals and lines of intervention of the SAP, a process of information and consultation to the local populations is detailed, where a minimum percentage of women's participation is integrated.</w:t>
            </w:r>
          </w:p>
        </w:tc>
        <w:tc>
          <w:tcPr>
            <w:tcW w:w="3367" w:type="dxa"/>
            <w:tcBorders>
              <w:top w:val="nil"/>
              <w:left w:val="nil"/>
              <w:bottom w:val="single" w:sz="8" w:space="0" w:color="000000"/>
              <w:right w:val="single" w:sz="8" w:space="0" w:color="000000"/>
            </w:tcBorders>
            <w:shd w:val="clear" w:color="auto" w:fill="auto"/>
            <w:vAlign w:val="center"/>
            <w:hideMark/>
          </w:tcPr>
          <w:p w14:paraId="2192EC8A"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Three consultations were carried out with local actors in each basin (1 of information provision and 2 of consultations). In the consultation process, a minimum of 30% of women's participation is established. </w:t>
            </w:r>
          </w:p>
        </w:tc>
        <w:tc>
          <w:tcPr>
            <w:tcW w:w="1193" w:type="dxa"/>
            <w:tcBorders>
              <w:top w:val="nil"/>
              <w:left w:val="nil"/>
              <w:bottom w:val="single" w:sz="8" w:space="0" w:color="000000"/>
              <w:right w:val="single" w:sz="8" w:space="0" w:color="000000"/>
            </w:tcBorders>
            <w:shd w:val="clear" w:color="auto" w:fill="auto"/>
            <w:vAlign w:val="center"/>
            <w:hideMark/>
          </w:tcPr>
          <w:p w14:paraId="1C892E3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Design of consultations will be developed for the project</w:t>
            </w:r>
          </w:p>
        </w:tc>
        <w:tc>
          <w:tcPr>
            <w:tcW w:w="1900" w:type="dxa"/>
            <w:tcBorders>
              <w:top w:val="nil"/>
              <w:left w:val="nil"/>
              <w:bottom w:val="single" w:sz="8" w:space="0" w:color="000000"/>
              <w:right w:val="single" w:sz="8" w:space="0" w:color="000000"/>
            </w:tcBorders>
            <w:shd w:val="clear" w:color="auto" w:fill="auto"/>
            <w:vAlign w:val="center"/>
            <w:hideMark/>
          </w:tcPr>
          <w:p w14:paraId="55BFDEA2"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execution of Project Outcome 2(years 2,3,4)</w:t>
            </w:r>
          </w:p>
        </w:tc>
        <w:tc>
          <w:tcPr>
            <w:tcW w:w="1920" w:type="dxa"/>
            <w:tcBorders>
              <w:top w:val="nil"/>
              <w:left w:val="nil"/>
              <w:bottom w:val="single" w:sz="8" w:space="0" w:color="000000"/>
              <w:right w:val="single" w:sz="8" w:space="0" w:color="000000"/>
            </w:tcBorders>
            <w:shd w:val="clear" w:color="auto" w:fill="auto"/>
            <w:vAlign w:val="center"/>
            <w:hideMark/>
          </w:tcPr>
          <w:p w14:paraId="3CCCCC1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Reports and participation records / In the consultation process, a minimum of 30% of women's participation. </w:t>
            </w:r>
          </w:p>
        </w:tc>
        <w:tc>
          <w:tcPr>
            <w:tcW w:w="1000" w:type="dxa"/>
            <w:tcBorders>
              <w:top w:val="nil"/>
              <w:left w:val="nil"/>
              <w:bottom w:val="single" w:sz="8" w:space="0" w:color="000000"/>
              <w:right w:val="single" w:sz="4" w:space="0" w:color="auto"/>
            </w:tcBorders>
            <w:shd w:val="clear" w:color="auto" w:fill="auto"/>
            <w:vAlign w:val="center"/>
            <w:hideMark/>
          </w:tcPr>
          <w:p w14:paraId="17BE3CAA"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7C2A17C8" w14:textId="77777777" w:rsidTr="00967C9B">
        <w:trPr>
          <w:trHeight w:val="1240"/>
          <w:jc w:val="center"/>
        </w:trPr>
        <w:tc>
          <w:tcPr>
            <w:tcW w:w="1880" w:type="dxa"/>
            <w:vMerge w:val="restart"/>
            <w:tcBorders>
              <w:top w:val="nil"/>
              <w:left w:val="single" w:sz="4" w:space="0" w:color="auto"/>
              <w:bottom w:val="single" w:sz="8" w:space="0" w:color="000000"/>
              <w:right w:val="single" w:sz="8" w:space="0" w:color="auto"/>
            </w:tcBorders>
            <w:shd w:val="clear" w:color="auto" w:fill="auto"/>
            <w:vAlign w:val="center"/>
            <w:hideMark/>
          </w:tcPr>
          <w:p w14:paraId="7EC0F3A7"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Outcome 3 – Training </w:t>
            </w:r>
          </w:p>
        </w:tc>
        <w:tc>
          <w:tcPr>
            <w:tcW w:w="3260" w:type="dxa"/>
            <w:tcBorders>
              <w:top w:val="nil"/>
              <w:left w:val="nil"/>
              <w:bottom w:val="single" w:sz="8" w:space="0" w:color="000000"/>
              <w:right w:val="single" w:sz="8" w:space="0" w:color="000000"/>
            </w:tcBorders>
            <w:shd w:val="clear" w:color="auto" w:fill="auto"/>
            <w:vAlign w:val="center"/>
            <w:hideMark/>
          </w:tcPr>
          <w:p w14:paraId="4B504EC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 minimum percentage of women's participation is integrated into the training processes designed in the project.</w:t>
            </w:r>
          </w:p>
        </w:tc>
        <w:tc>
          <w:tcPr>
            <w:tcW w:w="3367" w:type="dxa"/>
            <w:tcBorders>
              <w:top w:val="nil"/>
              <w:left w:val="nil"/>
              <w:bottom w:val="single" w:sz="8" w:space="0" w:color="000000"/>
              <w:right w:val="single" w:sz="8" w:space="0" w:color="000000"/>
            </w:tcBorders>
            <w:shd w:val="clear" w:color="auto" w:fill="auto"/>
            <w:vAlign w:val="center"/>
            <w:hideMark/>
          </w:tcPr>
          <w:p w14:paraId="62EAB43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The training process is carried out with 30% of women participating. </w:t>
            </w:r>
          </w:p>
        </w:tc>
        <w:tc>
          <w:tcPr>
            <w:tcW w:w="1193" w:type="dxa"/>
            <w:tcBorders>
              <w:top w:val="nil"/>
              <w:left w:val="nil"/>
              <w:bottom w:val="single" w:sz="8" w:space="0" w:color="000000"/>
              <w:right w:val="single" w:sz="8" w:space="0" w:color="000000"/>
            </w:tcBorders>
            <w:shd w:val="clear" w:color="auto" w:fill="auto"/>
            <w:vAlign w:val="center"/>
            <w:hideMark/>
          </w:tcPr>
          <w:p w14:paraId="61102A8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Training processes to be developed</w:t>
            </w:r>
          </w:p>
        </w:tc>
        <w:tc>
          <w:tcPr>
            <w:tcW w:w="1900" w:type="dxa"/>
            <w:tcBorders>
              <w:top w:val="nil"/>
              <w:left w:val="nil"/>
              <w:bottom w:val="single" w:sz="8" w:space="0" w:color="000000"/>
              <w:right w:val="single" w:sz="8" w:space="0" w:color="000000"/>
            </w:tcBorders>
            <w:shd w:val="clear" w:color="auto" w:fill="auto"/>
            <w:vAlign w:val="center"/>
            <w:hideMark/>
          </w:tcPr>
          <w:p w14:paraId="443C254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During execution of Project Outcome 3 (years 1, 2,3)</w:t>
            </w:r>
          </w:p>
        </w:tc>
        <w:tc>
          <w:tcPr>
            <w:tcW w:w="1920" w:type="dxa"/>
            <w:tcBorders>
              <w:top w:val="nil"/>
              <w:left w:val="nil"/>
              <w:bottom w:val="single" w:sz="8" w:space="0" w:color="000000"/>
              <w:right w:val="single" w:sz="8" w:space="0" w:color="000000"/>
            </w:tcBorders>
            <w:shd w:val="clear" w:color="auto" w:fill="auto"/>
            <w:vAlign w:val="center"/>
            <w:hideMark/>
          </w:tcPr>
          <w:p w14:paraId="526F036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Memories and participation records / 30% of women participating</w:t>
            </w:r>
          </w:p>
        </w:tc>
        <w:tc>
          <w:tcPr>
            <w:tcW w:w="1000" w:type="dxa"/>
            <w:tcBorders>
              <w:top w:val="nil"/>
              <w:left w:val="nil"/>
              <w:bottom w:val="single" w:sz="8" w:space="0" w:color="000000"/>
              <w:right w:val="single" w:sz="4" w:space="0" w:color="auto"/>
            </w:tcBorders>
            <w:shd w:val="clear" w:color="auto" w:fill="auto"/>
            <w:vAlign w:val="center"/>
            <w:hideMark/>
          </w:tcPr>
          <w:p w14:paraId="07E1CAB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24E1430C" w14:textId="77777777" w:rsidTr="00967C9B">
        <w:trPr>
          <w:trHeight w:val="1000"/>
          <w:jc w:val="center"/>
        </w:trPr>
        <w:tc>
          <w:tcPr>
            <w:tcW w:w="1880" w:type="dxa"/>
            <w:vMerge/>
            <w:tcBorders>
              <w:top w:val="nil"/>
              <w:left w:val="single" w:sz="4" w:space="0" w:color="auto"/>
              <w:bottom w:val="single" w:sz="8" w:space="0" w:color="000000"/>
              <w:right w:val="single" w:sz="8" w:space="0" w:color="auto"/>
            </w:tcBorders>
            <w:vAlign w:val="center"/>
            <w:hideMark/>
          </w:tcPr>
          <w:p w14:paraId="75DF3CED" w14:textId="77777777" w:rsidR="00BD5425" w:rsidRPr="00967C9B" w:rsidRDefault="00BD5425" w:rsidP="00967C9B">
            <w:pPr>
              <w:rPr>
                <w:rFonts w:cstheme="minorHAnsi"/>
                <w:sz w:val="18"/>
                <w:szCs w:val="18"/>
                <w:lang w:eastAsia="es-ES"/>
              </w:rPr>
            </w:pPr>
          </w:p>
        </w:tc>
        <w:tc>
          <w:tcPr>
            <w:tcW w:w="3260" w:type="dxa"/>
            <w:tcBorders>
              <w:top w:val="nil"/>
              <w:left w:val="nil"/>
              <w:bottom w:val="single" w:sz="8" w:space="0" w:color="000000"/>
              <w:right w:val="single" w:sz="8" w:space="0" w:color="000000"/>
            </w:tcBorders>
            <w:shd w:val="clear" w:color="auto" w:fill="auto"/>
            <w:vAlign w:val="center"/>
            <w:hideMark/>
          </w:tcPr>
          <w:p w14:paraId="1031583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training on gender equality for the project execution team.</w:t>
            </w:r>
          </w:p>
        </w:tc>
        <w:tc>
          <w:tcPr>
            <w:tcW w:w="3367" w:type="dxa"/>
            <w:tcBorders>
              <w:top w:val="nil"/>
              <w:left w:val="nil"/>
              <w:bottom w:val="single" w:sz="8" w:space="0" w:color="000000"/>
              <w:right w:val="single" w:sz="8" w:space="0" w:color="000000"/>
            </w:tcBorders>
            <w:shd w:val="clear" w:color="auto" w:fill="auto"/>
            <w:vAlign w:val="center"/>
            <w:hideMark/>
          </w:tcPr>
          <w:p w14:paraId="50131E0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 sensitization process is carried out for the project team for an adequate integration of the gender equality approach. It is done by the EGP of the project.</w:t>
            </w:r>
          </w:p>
        </w:tc>
        <w:tc>
          <w:tcPr>
            <w:tcW w:w="1193" w:type="dxa"/>
            <w:tcBorders>
              <w:top w:val="nil"/>
              <w:left w:val="nil"/>
              <w:bottom w:val="single" w:sz="8" w:space="0" w:color="000000"/>
              <w:right w:val="single" w:sz="8" w:space="0" w:color="000000"/>
            </w:tcBorders>
            <w:shd w:val="clear" w:color="auto" w:fill="auto"/>
            <w:vAlign w:val="center"/>
            <w:hideMark/>
          </w:tcPr>
          <w:p w14:paraId="08732A9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Specialized training will be designed</w:t>
            </w:r>
          </w:p>
        </w:tc>
        <w:tc>
          <w:tcPr>
            <w:tcW w:w="1900" w:type="dxa"/>
            <w:tcBorders>
              <w:top w:val="nil"/>
              <w:left w:val="nil"/>
              <w:bottom w:val="single" w:sz="8" w:space="0" w:color="000000"/>
              <w:right w:val="single" w:sz="8" w:space="0" w:color="000000"/>
            </w:tcBorders>
            <w:shd w:val="clear" w:color="auto" w:fill="auto"/>
            <w:vAlign w:val="center"/>
            <w:hideMark/>
          </w:tcPr>
          <w:p w14:paraId="4536947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At the beginning of the execution of the Project</w:t>
            </w:r>
          </w:p>
        </w:tc>
        <w:tc>
          <w:tcPr>
            <w:tcW w:w="1920" w:type="dxa"/>
            <w:tcBorders>
              <w:top w:val="nil"/>
              <w:left w:val="nil"/>
              <w:bottom w:val="single" w:sz="8" w:space="0" w:color="000000"/>
              <w:right w:val="single" w:sz="8" w:space="0" w:color="000000"/>
            </w:tcBorders>
            <w:shd w:val="clear" w:color="auto" w:fill="auto"/>
            <w:vAlign w:val="center"/>
            <w:hideMark/>
          </w:tcPr>
          <w:p w14:paraId="59EB55E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Report of training results on gender equality approach</w:t>
            </w:r>
          </w:p>
        </w:tc>
        <w:tc>
          <w:tcPr>
            <w:tcW w:w="1000" w:type="dxa"/>
            <w:tcBorders>
              <w:top w:val="nil"/>
              <w:left w:val="nil"/>
              <w:bottom w:val="single" w:sz="8" w:space="0" w:color="000000"/>
              <w:right w:val="single" w:sz="4" w:space="0" w:color="auto"/>
            </w:tcBorders>
            <w:shd w:val="clear" w:color="auto" w:fill="auto"/>
            <w:vAlign w:val="center"/>
            <w:hideMark/>
          </w:tcPr>
          <w:p w14:paraId="344A63B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0EA886A0" w14:textId="77777777" w:rsidTr="00967C9B">
        <w:trPr>
          <w:trHeight w:val="1180"/>
          <w:jc w:val="center"/>
        </w:trPr>
        <w:tc>
          <w:tcPr>
            <w:tcW w:w="1880" w:type="dxa"/>
            <w:vMerge/>
            <w:tcBorders>
              <w:top w:val="nil"/>
              <w:left w:val="single" w:sz="4" w:space="0" w:color="auto"/>
              <w:bottom w:val="single" w:sz="4" w:space="0" w:color="auto"/>
              <w:right w:val="single" w:sz="8" w:space="0" w:color="auto"/>
            </w:tcBorders>
            <w:vAlign w:val="center"/>
            <w:hideMark/>
          </w:tcPr>
          <w:p w14:paraId="70D5E0B9" w14:textId="77777777" w:rsidR="00BD5425" w:rsidRPr="00967C9B" w:rsidRDefault="00BD5425" w:rsidP="00967C9B">
            <w:pPr>
              <w:rPr>
                <w:rFonts w:cstheme="minorHAnsi"/>
                <w:sz w:val="18"/>
                <w:szCs w:val="18"/>
                <w:lang w:eastAsia="es-ES"/>
              </w:rPr>
            </w:pPr>
          </w:p>
        </w:tc>
        <w:tc>
          <w:tcPr>
            <w:tcW w:w="3260" w:type="dxa"/>
            <w:tcBorders>
              <w:top w:val="nil"/>
              <w:left w:val="nil"/>
              <w:bottom w:val="single" w:sz="4" w:space="0" w:color="auto"/>
              <w:right w:val="single" w:sz="8" w:space="0" w:color="000000"/>
            </w:tcBorders>
            <w:shd w:val="clear" w:color="auto" w:fill="auto"/>
            <w:vAlign w:val="center"/>
            <w:hideMark/>
          </w:tcPr>
          <w:p w14:paraId="581B105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 course on gender and water governance is designed and implemented.</w:t>
            </w:r>
          </w:p>
        </w:tc>
        <w:tc>
          <w:tcPr>
            <w:tcW w:w="3367" w:type="dxa"/>
            <w:tcBorders>
              <w:top w:val="nil"/>
              <w:left w:val="nil"/>
              <w:bottom w:val="single" w:sz="4" w:space="0" w:color="auto"/>
              <w:right w:val="single" w:sz="8" w:space="0" w:color="000000"/>
            </w:tcBorders>
            <w:shd w:val="clear" w:color="auto" w:fill="auto"/>
            <w:vAlign w:val="center"/>
            <w:hideMark/>
          </w:tcPr>
          <w:p w14:paraId="214ED29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A course for water and irrigation specific boards on gender and water governance is designed. The curriculum, materials, training for trainers and pilot exercises are developed. </w:t>
            </w:r>
          </w:p>
        </w:tc>
        <w:tc>
          <w:tcPr>
            <w:tcW w:w="1193" w:type="dxa"/>
            <w:tcBorders>
              <w:top w:val="nil"/>
              <w:left w:val="nil"/>
              <w:bottom w:val="single" w:sz="4" w:space="0" w:color="auto"/>
              <w:right w:val="single" w:sz="8" w:space="0" w:color="000000"/>
            </w:tcBorders>
            <w:shd w:val="clear" w:color="auto" w:fill="auto"/>
            <w:vAlign w:val="center"/>
            <w:hideMark/>
          </w:tcPr>
          <w:p w14:paraId="67F2B84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Specialized curriculum will be developed</w:t>
            </w:r>
          </w:p>
        </w:tc>
        <w:tc>
          <w:tcPr>
            <w:tcW w:w="1900" w:type="dxa"/>
            <w:tcBorders>
              <w:top w:val="nil"/>
              <w:left w:val="nil"/>
              <w:bottom w:val="single" w:sz="4" w:space="0" w:color="auto"/>
              <w:right w:val="single" w:sz="8" w:space="0" w:color="000000"/>
            </w:tcBorders>
            <w:shd w:val="clear" w:color="auto" w:fill="auto"/>
            <w:vAlign w:val="center"/>
            <w:hideMark/>
          </w:tcPr>
          <w:p w14:paraId="6594ADE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During execution of Project Outcome 3 (years 1, 2,3)</w:t>
            </w:r>
          </w:p>
        </w:tc>
        <w:tc>
          <w:tcPr>
            <w:tcW w:w="1920" w:type="dxa"/>
            <w:tcBorders>
              <w:top w:val="nil"/>
              <w:left w:val="nil"/>
              <w:bottom w:val="single" w:sz="4" w:space="0" w:color="auto"/>
              <w:right w:val="single" w:sz="8" w:space="0" w:color="000000"/>
            </w:tcBorders>
            <w:shd w:val="clear" w:color="auto" w:fill="auto"/>
            <w:vAlign w:val="center"/>
            <w:hideMark/>
          </w:tcPr>
          <w:p w14:paraId="13E0212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Specialized curriculum of the course, materials, reports and records of pilots.</w:t>
            </w:r>
          </w:p>
        </w:tc>
        <w:tc>
          <w:tcPr>
            <w:tcW w:w="1000" w:type="dxa"/>
            <w:tcBorders>
              <w:top w:val="nil"/>
              <w:left w:val="nil"/>
              <w:bottom w:val="single" w:sz="4" w:space="0" w:color="auto"/>
              <w:right w:val="single" w:sz="4" w:space="0" w:color="auto"/>
            </w:tcBorders>
            <w:shd w:val="clear" w:color="auto" w:fill="auto"/>
            <w:vAlign w:val="center"/>
            <w:hideMark/>
          </w:tcPr>
          <w:p w14:paraId="1865A64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20,000.00 </w:t>
            </w:r>
          </w:p>
        </w:tc>
      </w:tr>
      <w:tr w:rsidR="00BD5425" w:rsidRPr="00967C9B" w14:paraId="551EC982" w14:textId="77777777" w:rsidTr="00967C9B">
        <w:trPr>
          <w:trHeight w:val="1140"/>
          <w:jc w:val="center"/>
        </w:trPr>
        <w:tc>
          <w:tcPr>
            <w:tcW w:w="18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416EA1"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Outcome 4 – Innovative interventions </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3E13C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The design of the pilot projects identified the beneficiaries and their disaggregation by sex. </w:t>
            </w:r>
          </w:p>
        </w:tc>
        <w:tc>
          <w:tcPr>
            <w:tcW w:w="3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893B0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The projects have identification of beneficiaries and disaggregation by sex in their design </w:t>
            </w:r>
          </w:p>
        </w:tc>
        <w:tc>
          <w:tcPr>
            <w:tcW w:w="11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A9E91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This will be established as the starting line of the intervention.</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60BD2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execution of Outcome 4 (years 1,2,3,4)</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453CC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Project Pilot project report with the unbundling of potential beneficiaries</w:t>
            </w: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3AC18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5B19D112" w14:textId="77777777" w:rsidTr="00967C9B">
        <w:trPr>
          <w:trHeight w:val="1340"/>
          <w:jc w:val="center"/>
        </w:trPr>
        <w:tc>
          <w:tcPr>
            <w:tcW w:w="1880" w:type="dxa"/>
            <w:tcBorders>
              <w:top w:val="single" w:sz="4" w:space="0" w:color="auto"/>
              <w:left w:val="single" w:sz="4" w:space="0" w:color="auto"/>
              <w:bottom w:val="single" w:sz="8" w:space="0" w:color="auto"/>
              <w:right w:val="nil"/>
            </w:tcBorders>
            <w:shd w:val="clear" w:color="auto" w:fill="auto"/>
            <w:vAlign w:val="center"/>
            <w:hideMark/>
          </w:tcPr>
          <w:p w14:paraId="192550E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Outcome 4.2: Lessons and Learnings</w:t>
            </w:r>
          </w:p>
        </w:tc>
        <w:tc>
          <w:tcPr>
            <w:tcW w:w="3260" w:type="dxa"/>
            <w:tcBorders>
              <w:top w:val="single" w:sz="4" w:space="0" w:color="auto"/>
              <w:left w:val="single" w:sz="8" w:space="0" w:color="000000"/>
              <w:bottom w:val="single" w:sz="8" w:space="0" w:color="000000"/>
              <w:right w:val="single" w:sz="8" w:space="0" w:color="000000"/>
            </w:tcBorders>
            <w:shd w:val="clear" w:color="auto" w:fill="auto"/>
            <w:vAlign w:val="center"/>
            <w:hideMark/>
          </w:tcPr>
          <w:p w14:paraId="479E5FA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On site meetings are included as a follow-up strategy on gender equality.</w:t>
            </w:r>
          </w:p>
        </w:tc>
        <w:tc>
          <w:tcPr>
            <w:tcW w:w="3367" w:type="dxa"/>
            <w:tcBorders>
              <w:top w:val="single" w:sz="4" w:space="0" w:color="auto"/>
              <w:left w:val="nil"/>
              <w:bottom w:val="single" w:sz="8" w:space="0" w:color="000000"/>
              <w:right w:val="single" w:sz="8" w:space="0" w:color="000000"/>
            </w:tcBorders>
            <w:shd w:val="clear" w:color="auto" w:fill="auto"/>
            <w:vAlign w:val="center"/>
            <w:hideMark/>
          </w:tcPr>
          <w:p w14:paraId="21C75A9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Meetings are held with groups of women organized from the basins.</w:t>
            </w:r>
          </w:p>
        </w:tc>
        <w:tc>
          <w:tcPr>
            <w:tcW w:w="1193" w:type="dxa"/>
            <w:tcBorders>
              <w:top w:val="single" w:sz="4" w:space="0" w:color="auto"/>
              <w:left w:val="nil"/>
              <w:bottom w:val="single" w:sz="8" w:space="0" w:color="000000"/>
              <w:right w:val="single" w:sz="8" w:space="0" w:color="000000"/>
            </w:tcBorders>
            <w:shd w:val="clear" w:color="auto" w:fill="auto"/>
            <w:vAlign w:val="center"/>
            <w:hideMark/>
          </w:tcPr>
          <w:p w14:paraId="77EA0D31"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Existing on-site organizations to be involved</w:t>
            </w:r>
          </w:p>
        </w:tc>
        <w:tc>
          <w:tcPr>
            <w:tcW w:w="1900" w:type="dxa"/>
            <w:tcBorders>
              <w:top w:val="single" w:sz="4" w:space="0" w:color="auto"/>
              <w:left w:val="nil"/>
              <w:bottom w:val="single" w:sz="8" w:space="0" w:color="000000"/>
              <w:right w:val="single" w:sz="8" w:space="0" w:color="000000"/>
            </w:tcBorders>
            <w:shd w:val="clear" w:color="auto" w:fill="auto"/>
            <w:vAlign w:val="center"/>
            <w:hideMark/>
          </w:tcPr>
          <w:p w14:paraId="69090A8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execution of Outcome 4 (years 1,2,3,4)</w:t>
            </w:r>
          </w:p>
        </w:tc>
        <w:tc>
          <w:tcPr>
            <w:tcW w:w="1920" w:type="dxa"/>
            <w:tcBorders>
              <w:top w:val="single" w:sz="4" w:space="0" w:color="auto"/>
              <w:left w:val="nil"/>
              <w:bottom w:val="single" w:sz="8" w:space="0" w:color="000000"/>
              <w:right w:val="single" w:sz="8" w:space="0" w:color="000000"/>
            </w:tcBorders>
            <w:shd w:val="clear" w:color="auto" w:fill="auto"/>
            <w:vAlign w:val="center"/>
            <w:hideMark/>
          </w:tcPr>
          <w:p w14:paraId="1AE6F03C"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Memories and participation records.</w:t>
            </w:r>
          </w:p>
        </w:tc>
        <w:tc>
          <w:tcPr>
            <w:tcW w:w="1000" w:type="dxa"/>
            <w:tcBorders>
              <w:top w:val="single" w:sz="4" w:space="0" w:color="auto"/>
              <w:left w:val="nil"/>
              <w:bottom w:val="single" w:sz="8" w:space="0" w:color="000000"/>
              <w:right w:val="single" w:sz="4" w:space="0" w:color="auto"/>
            </w:tcBorders>
            <w:shd w:val="clear" w:color="auto" w:fill="auto"/>
            <w:vAlign w:val="center"/>
            <w:hideMark/>
          </w:tcPr>
          <w:p w14:paraId="289AF0E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16,000.00  </w:t>
            </w:r>
          </w:p>
        </w:tc>
      </w:tr>
      <w:tr w:rsidR="00BD5425" w:rsidRPr="00967C9B" w14:paraId="4731CC58" w14:textId="77777777" w:rsidTr="00967C9B">
        <w:trPr>
          <w:trHeight w:val="580"/>
          <w:jc w:val="center"/>
        </w:trPr>
        <w:tc>
          <w:tcPr>
            <w:tcW w:w="14520" w:type="dxa"/>
            <w:gridSpan w:val="7"/>
            <w:tcBorders>
              <w:top w:val="single" w:sz="8" w:space="0" w:color="auto"/>
              <w:left w:val="single" w:sz="4" w:space="0" w:color="auto"/>
              <w:bottom w:val="nil"/>
              <w:right w:val="single" w:sz="4" w:space="0" w:color="auto"/>
            </w:tcBorders>
            <w:shd w:val="clear" w:color="000000" w:fill="DCE6F1"/>
            <w:vAlign w:val="center"/>
            <w:hideMark/>
          </w:tcPr>
          <w:p w14:paraId="08768DF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training and awareness meetings; communication, feedback or consultation processes</w:t>
            </w:r>
          </w:p>
        </w:tc>
      </w:tr>
      <w:tr w:rsidR="00BD5425" w:rsidRPr="00967C9B" w14:paraId="0610D7EE" w14:textId="77777777" w:rsidTr="00967C9B">
        <w:trPr>
          <w:trHeight w:val="1240"/>
          <w:jc w:val="center"/>
        </w:trPr>
        <w:tc>
          <w:tcPr>
            <w:tcW w:w="1880" w:type="dxa"/>
            <w:tcBorders>
              <w:top w:val="single" w:sz="8" w:space="0" w:color="auto"/>
              <w:left w:val="single" w:sz="4" w:space="0" w:color="auto"/>
              <w:bottom w:val="nil"/>
              <w:right w:val="nil"/>
            </w:tcBorders>
            <w:shd w:val="clear" w:color="auto" w:fill="auto"/>
            <w:vAlign w:val="center"/>
            <w:hideMark/>
          </w:tcPr>
          <w:p w14:paraId="5C7936F7"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Training, awareness activities, etc</w:t>
            </w:r>
          </w:p>
        </w:tc>
        <w:tc>
          <w:tcPr>
            <w:tcW w:w="3260" w:type="dxa"/>
            <w:tcBorders>
              <w:top w:val="single" w:sz="8" w:space="0" w:color="auto"/>
              <w:left w:val="single" w:sz="8" w:space="0" w:color="000000"/>
              <w:bottom w:val="single" w:sz="8" w:space="0" w:color="000000"/>
              <w:right w:val="single" w:sz="8" w:space="0" w:color="000000"/>
            </w:tcBorders>
            <w:shd w:val="clear" w:color="auto" w:fill="auto"/>
            <w:vAlign w:val="center"/>
            <w:hideMark/>
          </w:tcPr>
          <w:p w14:paraId="313E8A42"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In integration of minimum percentage of participation of women in the processes designed in the project.</w:t>
            </w:r>
          </w:p>
        </w:tc>
        <w:tc>
          <w:tcPr>
            <w:tcW w:w="3367" w:type="dxa"/>
            <w:tcBorders>
              <w:top w:val="single" w:sz="8" w:space="0" w:color="auto"/>
              <w:left w:val="nil"/>
              <w:bottom w:val="single" w:sz="8" w:space="0" w:color="000000"/>
              <w:right w:val="single" w:sz="8" w:space="0" w:color="000000"/>
            </w:tcBorders>
            <w:shd w:val="clear" w:color="auto" w:fill="auto"/>
            <w:vAlign w:val="center"/>
            <w:hideMark/>
          </w:tcPr>
          <w:p w14:paraId="474AC85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Minimum percentages of 30% of women's participation are requested and integrated </w:t>
            </w:r>
          </w:p>
        </w:tc>
        <w:tc>
          <w:tcPr>
            <w:tcW w:w="1193" w:type="dxa"/>
            <w:tcBorders>
              <w:top w:val="single" w:sz="8" w:space="0" w:color="auto"/>
              <w:left w:val="nil"/>
              <w:bottom w:val="single" w:sz="8" w:space="0" w:color="000000"/>
              <w:right w:val="single" w:sz="8" w:space="0" w:color="000000"/>
            </w:tcBorders>
            <w:shd w:val="clear" w:color="auto" w:fill="auto"/>
            <w:vAlign w:val="center"/>
            <w:hideMark/>
          </w:tcPr>
          <w:p w14:paraId="1AF56F1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All the activities of this kind will be designed </w:t>
            </w:r>
          </w:p>
        </w:tc>
        <w:tc>
          <w:tcPr>
            <w:tcW w:w="1900" w:type="dxa"/>
            <w:tcBorders>
              <w:top w:val="single" w:sz="8" w:space="0" w:color="auto"/>
              <w:left w:val="nil"/>
              <w:bottom w:val="single" w:sz="8" w:space="0" w:color="000000"/>
              <w:right w:val="single" w:sz="8" w:space="0" w:color="000000"/>
            </w:tcBorders>
            <w:shd w:val="clear" w:color="auto" w:fill="auto"/>
            <w:vAlign w:val="center"/>
            <w:hideMark/>
          </w:tcPr>
          <w:p w14:paraId="54B31D31"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Throughout the execution of the Project and in the reporting mechanisms of the project</w:t>
            </w:r>
          </w:p>
        </w:tc>
        <w:tc>
          <w:tcPr>
            <w:tcW w:w="1920" w:type="dxa"/>
            <w:tcBorders>
              <w:top w:val="single" w:sz="8" w:space="0" w:color="auto"/>
              <w:left w:val="nil"/>
              <w:bottom w:val="single" w:sz="8" w:space="0" w:color="000000"/>
              <w:right w:val="single" w:sz="8" w:space="0" w:color="000000"/>
            </w:tcBorders>
            <w:shd w:val="clear" w:color="auto" w:fill="auto"/>
            <w:vAlign w:val="center"/>
            <w:hideMark/>
          </w:tcPr>
          <w:p w14:paraId="7673D337"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Memories and participation records.</w:t>
            </w:r>
          </w:p>
        </w:tc>
        <w:tc>
          <w:tcPr>
            <w:tcW w:w="1000" w:type="dxa"/>
            <w:tcBorders>
              <w:top w:val="single" w:sz="8" w:space="0" w:color="auto"/>
              <w:left w:val="nil"/>
              <w:bottom w:val="single" w:sz="8" w:space="0" w:color="000000"/>
              <w:right w:val="single" w:sz="4" w:space="0" w:color="auto"/>
            </w:tcBorders>
            <w:shd w:val="clear" w:color="auto" w:fill="auto"/>
            <w:vAlign w:val="center"/>
            <w:hideMark/>
          </w:tcPr>
          <w:p w14:paraId="547ACCD5"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442859B6" w14:textId="77777777" w:rsidTr="00967C9B">
        <w:trPr>
          <w:trHeight w:val="1660"/>
          <w:jc w:val="center"/>
        </w:trPr>
        <w:tc>
          <w:tcPr>
            <w:tcW w:w="1880"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4F38830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Communication strategy</w:t>
            </w:r>
          </w:p>
        </w:tc>
        <w:tc>
          <w:tcPr>
            <w:tcW w:w="3260" w:type="dxa"/>
            <w:tcBorders>
              <w:top w:val="nil"/>
              <w:left w:val="nil"/>
              <w:bottom w:val="single" w:sz="8" w:space="0" w:color="auto"/>
              <w:right w:val="single" w:sz="8" w:space="0" w:color="000000"/>
            </w:tcBorders>
            <w:shd w:val="clear" w:color="auto" w:fill="auto"/>
            <w:vAlign w:val="center"/>
            <w:hideMark/>
          </w:tcPr>
          <w:p w14:paraId="46086F6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 Strategy is developed with a gender equality approach</w:t>
            </w:r>
          </w:p>
        </w:tc>
        <w:tc>
          <w:tcPr>
            <w:tcW w:w="3367" w:type="dxa"/>
            <w:tcBorders>
              <w:top w:val="nil"/>
              <w:left w:val="nil"/>
              <w:bottom w:val="single" w:sz="8" w:space="0" w:color="auto"/>
              <w:right w:val="single" w:sz="8" w:space="0" w:color="000000"/>
            </w:tcBorders>
            <w:shd w:val="clear" w:color="auto" w:fill="auto"/>
            <w:vAlign w:val="center"/>
            <w:hideMark/>
          </w:tcPr>
          <w:p w14:paraId="4CA6888D"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Communication activities are carried out with appropriate communication contents (non-discriminative) with inclusive language. This is done in coordination with the EGP of the project.</w:t>
            </w:r>
          </w:p>
        </w:tc>
        <w:tc>
          <w:tcPr>
            <w:tcW w:w="1193" w:type="dxa"/>
            <w:tcBorders>
              <w:top w:val="nil"/>
              <w:left w:val="nil"/>
              <w:bottom w:val="single" w:sz="8" w:space="0" w:color="auto"/>
              <w:right w:val="single" w:sz="8" w:space="0" w:color="000000"/>
            </w:tcBorders>
            <w:shd w:val="clear" w:color="auto" w:fill="auto"/>
            <w:vAlign w:val="center"/>
            <w:hideMark/>
          </w:tcPr>
          <w:p w14:paraId="2BD163AA"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Communication strategy to be developed</w:t>
            </w:r>
          </w:p>
        </w:tc>
        <w:tc>
          <w:tcPr>
            <w:tcW w:w="1900" w:type="dxa"/>
            <w:tcBorders>
              <w:top w:val="nil"/>
              <w:left w:val="nil"/>
              <w:bottom w:val="single" w:sz="8" w:space="0" w:color="auto"/>
              <w:right w:val="single" w:sz="8" w:space="0" w:color="000000"/>
            </w:tcBorders>
            <w:shd w:val="clear" w:color="auto" w:fill="auto"/>
            <w:vAlign w:val="center"/>
            <w:hideMark/>
          </w:tcPr>
          <w:p w14:paraId="1AE92D7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Throughout the execution of the Project</w:t>
            </w:r>
          </w:p>
        </w:tc>
        <w:tc>
          <w:tcPr>
            <w:tcW w:w="1920" w:type="dxa"/>
            <w:tcBorders>
              <w:top w:val="nil"/>
              <w:left w:val="nil"/>
              <w:bottom w:val="single" w:sz="8" w:space="0" w:color="auto"/>
              <w:right w:val="single" w:sz="8" w:space="0" w:color="000000"/>
            </w:tcBorders>
            <w:shd w:val="clear" w:color="auto" w:fill="auto"/>
            <w:vAlign w:val="center"/>
            <w:hideMark/>
          </w:tcPr>
          <w:p w14:paraId="7E81738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Communication strategy with statements on gender equality approach - with appropriate non-discriminative language</w:t>
            </w:r>
          </w:p>
        </w:tc>
        <w:tc>
          <w:tcPr>
            <w:tcW w:w="1000" w:type="dxa"/>
            <w:tcBorders>
              <w:top w:val="nil"/>
              <w:left w:val="nil"/>
              <w:bottom w:val="single" w:sz="8" w:space="0" w:color="auto"/>
              <w:right w:val="single" w:sz="4" w:space="0" w:color="auto"/>
            </w:tcBorders>
            <w:shd w:val="clear" w:color="auto" w:fill="auto"/>
            <w:vAlign w:val="center"/>
            <w:hideMark/>
          </w:tcPr>
          <w:p w14:paraId="473B2C8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 / A</w:t>
            </w:r>
          </w:p>
        </w:tc>
      </w:tr>
      <w:tr w:rsidR="00BD5425" w:rsidRPr="00967C9B" w14:paraId="23B8B60C" w14:textId="77777777" w:rsidTr="00967C9B">
        <w:trPr>
          <w:trHeight w:val="460"/>
          <w:jc w:val="center"/>
        </w:trPr>
        <w:tc>
          <w:tcPr>
            <w:tcW w:w="14520" w:type="dxa"/>
            <w:gridSpan w:val="7"/>
            <w:tcBorders>
              <w:top w:val="single" w:sz="8" w:space="0" w:color="auto"/>
              <w:left w:val="single" w:sz="4" w:space="0" w:color="auto"/>
              <w:bottom w:val="single" w:sz="4" w:space="0" w:color="auto"/>
              <w:right w:val="single" w:sz="4" w:space="0" w:color="auto"/>
            </w:tcBorders>
            <w:shd w:val="clear" w:color="000000" w:fill="DCE6F1"/>
            <w:vAlign w:val="center"/>
            <w:hideMark/>
          </w:tcPr>
          <w:p w14:paraId="5B068211"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In the project execution team </w:t>
            </w:r>
          </w:p>
        </w:tc>
      </w:tr>
      <w:tr w:rsidR="00BD5425" w:rsidRPr="00967C9B" w14:paraId="3CE31638" w14:textId="77777777" w:rsidTr="00967C9B">
        <w:trPr>
          <w:trHeight w:val="1640"/>
          <w:jc w:val="center"/>
        </w:trPr>
        <w:tc>
          <w:tcPr>
            <w:tcW w:w="1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2CA51B"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Key Personnel for gender equality</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C6BFD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 specialist in the Project Team (EGP) is integrated</w:t>
            </w:r>
          </w:p>
        </w:tc>
        <w:tc>
          <w:tcPr>
            <w:tcW w:w="33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BB974C"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With the integration of a specialist in gender equality, participation and multiculturalism guarantees the technical integration of these approaches. It is responsible for the implementation of the Gender Inclusion Plan and the grievance mechanism</w:t>
            </w:r>
          </w:p>
        </w:tc>
        <w:tc>
          <w:tcPr>
            <w:tcW w:w="11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A7F2D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N/A</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1BC65E"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At the start of the project execution</w:t>
            </w:r>
          </w:p>
        </w:tc>
        <w:tc>
          <w:tcPr>
            <w:tcW w:w="1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96010F"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Specialist contract</w:t>
            </w: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B3482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153,024.00 </w:t>
            </w:r>
          </w:p>
        </w:tc>
      </w:tr>
      <w:tr w:rsidR="00BD5425" w:rsidRPr="00967C9B" w14:paraId="5C65D953" w14:textId="77777777" w:rsidTr="00967C9B">
        <w:trPr>
          <w:trHeight w:val="1300"/>
          <w:jc w:val="center"/>
        </w:trPr>
        <w:tc>
          <w:tcPr>
            <w:tcW w:w="1880" w:type="dxa"/>
            <w:vMerge/>
            <w:tcBorders>
              <w:top w:val="single" w:sz="4" w:space="0" w:color="auto"/>
              <w:left w:val="single" w:sz="4" w:space="0" w:color="auto"/>
              <w:bottom w:val="single" w:sz="8" w:space="0" w:color="000000"/>
              <w:right w:val="single" w:sz="8" w:space="0" w:color="000000"/>
            </w:tcBorders>
            <w:vAlign w:val="center"/>
            <w:hideMark/>
          </w:tcPr>
          <w:p w14:paraId="6ED84253" w14:textId="77777777" w:rsidR="00BD5425" w:rsidRPr="00967C9B" w:rsidRDefault="00BD5425" w:rsidP="00967C9B">
            <w:pPr>
              <w:rPr>
                <w:rFonts w:cstheme="minorHAnsi"/>
                <w:sz w:val="18"/>
                <w:szCs w:val="18"/>
                <w:lang w:eastAsia="es-ES"/>
              </w:rPr>
            </w:pPr>
          </w:p>
        </w:tc>
        <w:tc>
          <w:tcPr>
            <w:tcW w:w="3260" w:type="dxa"/>
            <w:tcBorders>
              <w:top w:val="single" w:sz="4" w:space="0" w:color="auto"/>
              <w:left w:val="nil"/>
              <w:bottom w:val="single" w:sz="8" w:space="0" w:color="000000"/>
              <w:right w:val="single" w:sz="8" w:space="0" w:color="000000"/>
            </w:tcBorders>
            <w:shd w:val="clear" w:color="auto" w:fill="auto"/>
            <w:vAlign w:val="center"/>
            <w:hideMark/>
          </w:tcPr>
          <w:p w14:paraId="79755E23" w14:textId="0EBCB2C9" w:rsidR="00BD5425" w:rsidRPr="00967C9B" w:rsidRDefault="00616EA5" w:rsidP="00967C9B">
            <w:pPr>
              <w:rPr>
                <w:rFonts w:cstheme="minorHAnsi"/>
                <w:sz w:val="18"/>
                <w:szCs w:val="18"/>
                <w:lang w:eastAsia="es-ES"/>
              </w:rPr>
            </w:pPr>
            <w:r w:rsidRPr="00967C9B">
              <w:rPr>
                <w:rFonts w:cstheme="minorHAnsi"/>
                <w:sz w:val="18"/>
                <w:szCs w:val="18"/>
                <w:lang w:eastAsia="es-ES"/>
              </w:rPr>
              <w:t>An</w:t>
            </w:r>
            <w:r w:rsidR="00BD5425" w:rsidRPr="00967C9B">
              <w:rPr>
                <w:rFonts w:cstheme="minorHAnsi"/>
                <w:sz w:val="18"/>
                <w:szCs w:val="18"/>
                <w:lang w:eastAsia="es-ES"/>
              </w:rPr>
              <w:t xml:space="preserve"> assistant – SAP participation and gender equality assistant </w:t>
            </w:r>
          </w:p>
        </w:tc>
        <w:tc>
          <w:tcPr>
            <w:tcW w:w="3367" w:type="dxa"/>
            <w:tcBorders>
              <w:top w:val="single" w:sz="4" w:space="0" w:color="auto"/>
              <w:left w:val="nil"/>
              <w:bottom w:val="single" w:sz="8" w:space="0" w:color="000000"/>
              <w:right w:val="nil"/>
            </w:tcBorders>
            <w:shd w:val="clear" w:color="auto" w:fill="auto"/>
            <w:vAlign w:val="center"/>
            <w:hideMark/>
          </w:tcPr>
          <w:p w14:paraId="26A96BD0"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With the integration of an assistant to support the SAP development team in social and intercultural participation and gender mainstreaming.</w:t>
            </w:r>
          </w:p>
        </w:tc>
        <w:tc>
          <w:tcPr>
            <w:tcW w:w="1193" w:type="dxa"/>
            <w:tcBorders>
              <w:top w:val="single" w:sz="4" w:space="0" w:color="auto"/>
              <w:left w:val="single" w:sz="8" w:space="0" w:color="auto"/>
              <w:bottom w:val="nil"/>
              <w:right w:val="single" w:sz="8" w:space="0" w:color="auto"/>
            </w:tcBorders>
            <w:shd w:val="clear" w:color="auto" w:fill="auto"/>
            <w:vAlign w:val="center"/>
            <w:hideMark/>
          </w:tcPr>
          <w:p w14:paraId="4C99D13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N/A</w:t>
            </w:r>
          </w:p>
        </w:tc>
        <w:tc>
          <w:tcPr>
            <w:tcW w:w="1900" w:type="dxa"/>
            <w:tcBorders>
              <w:top w:val="single" w:sz="4" w:space="0" w:color="auto"/>
              <w:left w:val="nil"/>
              <w:bottom w:val="single" w:sz="8" w:space="0" w:color="000000"/>
              <w:right w:val="single" w:sz="8" w:space="0" w:color="000000"/>
            </w:tcBorders>
            <w:shd w:val="clear" w:color="auto" w:fill="auto"/>
            <w:vAlign w:val="center"/>
            <w:hideMark/>
          </w:tcPr>
          <w:p w14:paraId="43FC363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At the beginning of the SAP phase in the conformation of the team. Outcome 2(year 2)</w:t>
            </w:r>
          </w:p>
        </w:tc>
        <w:tc>
          <w:tcPr>
            <w:tcW w:w="1920" w:type="dxa"/>
            <w:tcBorders>
              <w:top w:val="single" w:sz="4" w:space="0" w:color="auto"/>
              <w:left w:val="nil"/>
              <w:bottom w:val="single" w:sz="8" w:space="0" w:color="000000"/>
              <w:right w:val="single" w:sz="8" w:space="0" w:color="000000"/>
            </w:tcBorders>
            <w:shd w:val="clear" w:color="auto" w:fill="auto"/>
            <w:vAlign w:val="center"/>
            <w:hideMark/>
          </w:tcPr>
          <w:p w14:paraId="3DB808BC"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Assistant contract</w:t>
            </w:r>
          </w:p>
        </w:tc>
        <w:tc>
          <w:tcPr>
            <w:tcW w:w="1000" w:type="dxa"/>
            <w:tcBorders>
              <w:top w:val="single" w:sz="4" w:space="0" w:color="auto"/>
              <w:left w:val="nil"/>
              <w:bottom w:val="single" w:sz="8" w:space="0" w:color="000000"/>
              <w:right w:val="single" w:sz="4" w:space="0" w:color="auto"/>
            </w:tcBorders>
            <w:shd w:val="clear" w:color="auto" w:fill="auto"/>
            <w:vAlign w:val="center"/>
            <w:hideMark/>
          </w:tcPr>
          <w:p w14:paraId="5833F5B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27,200.00 </w:t>
            </w:r>
          </w:p>
        </w:tc>
      </w:tr>
      <w:tr w:rsidR="00BD5425" w:rsidRPr="00967C9B" w14:paraId="37E3E390" w14:textId="77777777" w:rsidTr="00967C9B">
        <w:trPr>
          <w:trHeight w:val="760"/>
          <w:jc w:val="center"/>
        </w:trPr>
        <w:tc>
          <w:tcPr>
            <w:tcW w:w="1880" w:type="dxa"/>
            <w:vMerge/>
            <w:tcBorders>
              <w:top w:val="nil"/>
              <w:left w:val="single" w:sz="4" w:space="0" w:color="auto"/>
              <w:bottom w:val="single" w:sz="8" w:space="0" w:color="000000"/>
              <w:right w:val="single" w:sz="8" w:space="0" w:color="000000"/>
            </w:tcBorders>
            <w:vAlign w:val="center"/>
            <w:hideMark/>
          </w:tcPr>
          <w:p w14:paraId="4A4F2450" w14:textId="77777777" w:rsidR="00BD5425" w:rsidRPr="00967C9B" w:rsidRDefault="00BD5425" w:rsidP="00967C9B">
            <w:pPr>
              <w:rPr>
                <w:rFonts w:cstheme="minorHAnsi"/>
                <w:sz w:val="18"/>
                <w:szCs w:val="18"/>
                <w:lang w:eastAsia="es-ES"/>
              </w:rPr>
            </w:pPr>
          </w:p>
        </w:tc>
        <w:tc>
          <w:tcPr>
            <w:tcW w:w="3260" w:type="dxa"/>
            <w:tcBorders>
              <w:top w:val="nil"/>
              <w:left w:val="nil"/>
              <w:bottom w:val="single" w:sz="8" w:space="0" w:color="000000"/>
              <w:right w:val="single" w:sz="8" w:space="0" w:color="000000"/>
            </w:tcBorders>
            <w:shd w:val="clear" w:color="auto" w:fill="auto"/>
            <w:vAlign w:val="center"/>
            <w:hideMark/>
          </w:tcPr>
          <w:p w14:paraId="5930DEC3"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Five Community workers</w:t>
            </w:r>
          </w:p>
        </w:tc>
        <w:tc>
          <w:tcPr>
            <w:tcW w:w="3367" w:type="dxa"/>
            <w:tcBorders>
              <w:top w:val="nil"/>
              <w:left w:val="nil"/>
              <w:bottom w:val="single" w:sz="8" w:space="0" w:color="000000"/>
              <w:right w:val="nil"/>
            </w:tcBorders>
            <w:shd w:val="clear" w:color="auto" w:fill="auto"/>
            <w:vAlign w:val="center"/>
            <w:hideMark/>
          </w:tcPr>
          <w:p w14:paraId="42DEC68A" w14:textId="0690ED1C"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With the integration of five community </w:t>
            </w:r>
            <w:r w:rsidR="00616EA5" w:rsidRPr="00967C9B">
              <w:rPr>
                <w:rFonts w:cstheme="minorHAnsi"/>
                <w:sz w:val="18"/>
                <w:szCs w:val="18"/>
                <w:lang w:eastAsia="es-ES"/>
              </w:rPr>
              <w:t>workers</w:t>
            </w:r>
            <w:r w:rsidRPr="00967C9B">
              <w:rPr>
                <w:rFonts w:cstheme="minorHAnsi"/>
                <w:sz w:val="18"/>
                <w:szCs w:val="18"/>
                <w:lang w:eastAsia="es-ES"/>
              </w:rPr>
              <w:t xml:space="preserve"> to support the SAP </w:t>
            </w:r>
            <w:r w:rsidR="00616EA5" w:rsidRPr="00967C9B">
              <w:rPr>
                <w:rFonts w:cstheme="minorHAnsi"/>
                <w:sz w:val="18"/>
                <w:szCs w:val="18"/>
                <w:lang w:eastAsia="es-ES"/>
              </w:rPr>
              <w:t>Preparation.</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14:paraId="777384F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N/A</w:t>
            </w:r>
          </w:p>
        </w:tc>
        <w:tc>
          <w:tcPr>
            <w:tcW w:w="1900" w:type="dxa"/>
            <w:tcBorders>
              <w:top w:val="nil"/>
              <w:left w:val="nil"/>
              <w:bottom w:val="single" w:sz="8" w:space="0" w:color="000000"/>
              <w:right w:val="single" w:sz="8" w:space="0" w:color="000000"/>
            </w:tcBorders>
            <w:shd w:val="clear" w:color="auto" w:fill="auto"/>
            <w:vAlign w:val="center"/>
            <w:hideMark/>
          </w:tcPr>
          <w:p w14:paraId="25C0894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During project outcome 2(year 2)</w:t>
            </w:r>
          </w:p>
        </w:tc>
        <w:tc>
          <w:tcPr>
            <w:tcW w:w="1920" w:type="dxa"/>
            <w:tcBorders>
              <w:top w:val="nil"/>
              <w:left w:val="nil"/>
              <w:bottom w:val="single" w:sz="8" w:space="0" w:color="000000"/>
              <w:right w:val="single" w:sz="8" w:space="0" w:color="000000"/>
            </w:tcBorders>
            <w:shd w:val="clear" w:color="auto" w:fill="auto"/>
            <w:vAlign w:val="center"/>
            <w:hideMark/>
          </w:tcPr>
          <w:p w14:paraId="665EBCA9"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Contracts</w:t>
            </w:r>
          </w:p>
        </w:tc>
        <w:tc>
          <w:tcPr>
            <w:tcW w:w="1000" w:type="dxa"/>
            <w:tcBorders>
              <w:top w:val="nil"/>
              <w:left w:val="nil"/>
              <w:bottom w:val="single" w:sz="8" w:space="0" w:color="000000"/>
              <w:right w:val="single" w:sz="4" w:space="0" w:color="auto"/>
            </w:tcBorders>
            <w:shd w:val="clear" w:color="auto" w:fill="auto"/>
            <w:vAlign w:val="center"/>
            <w:hideMark/>
          </w:tcPr>
          <w:p w14:paraId="5B7879C2"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 56,000.00 </w:t>
            </w:r>
          </w:p>
        </w:tc>
      </w:tr>
      <w:tr w:rsidR="00BD5425" w:rsidRPr="00967C9B" w14:paraId="11C8AB32" w14:textId="77777777" w:rsidTr="00967C9B">
        <w:trPr>
          <w:trHeight w:val="380"/>
          <w:jc w:val="center"/>
        </w:trPr>
        <w:tc>
          <w:tcPr>
            <w:tcW w:w="14520" w:type="dxa"/>
            <w:gridSpan w:val="7"/>
            <w:tcBorders>
              <w:top w:val="nil"/>
              <w:left w:val="single" w:sz="4" w:space="0" w:color="auto"/>
              <w:bottom w:val="nil"/>
              <w:right w:val="single" w:sz="4" w:space="0" w:color="auto"/>
            </w:tcBorders>
            <w:shd w:val="clear" w:color="000000" w:fill="DCE6F1"/>
            <w:vAlign w:val="center"/>
            <w:hideMark/>
          </w:tcPr>
          <w:p w14:paraId="3C9DEE38"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w:t>
            </w:r>
          </w:p>
        </w:tc>
      </w:tr>
      <w:tr w:rsidR="00BD5425" w:rsidRPr="00967C9B" w14:paraId="26D4E030" w14:textId="77777777" w:rsidTr="00967C9B">
        <w:trPr>
          <w:trHeight w:val="480"/>
          <w:jc w:val="center"/>
        </w:trPr>
        <w:tc>
          <w:tcPr>
            <w:tcW w:w="13520" w:type="dxa"/>
            <w:gridSpan w:val="6"/>
            <w:tcBorders>
              <w:top w:val="single" w:sz="8" w:space="0" w:color="auto"/>
              <w:left w:val="single" w:sz="4" w:space="0" w:color="auto"/>
              <w:bottom w:val="single" w:sz="4" w:space="0" w:color="auto"/>
              <w:right w:val="single" w:sz="4" w:space="0" w:color="000000"/>
            </w:tcBorders>
            <w:shd w:val="clear" w:color="auto" w:fill="auto"/>
            <w:vAlign w:val="center"/>
            <w:hideMark/>
          </w:tcPr>
          <w:p w14:paraId="5A5C5044"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 xml:space="preserve">Total Budget </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228015E6" w14:textId="77777777" w:rsidR="00BD5425" w:rsidRPr="00967C9B" w:rsidRDefault="00BD5425" w:rsidP="00967C9B">
            <w:pPr>
              <w:rPr>
                <w:rFonts w:cstheme="minorHAnsi"/>
                <w:sz w:val="18"/>
                <w:szCs w:val="18"/>
                <w:lang w:eastAsia="es-ES"/>
              </w:rPr>
            </w:pPr>
            <w:r w:rsidRPr="00967C9B">
              <w:rPr>
                <w:rFonts w:cstheme="minorHAnsi"/>
                <w:sz w:val="18"/>
                <w:szCs w:val="18"/>
                <w:lang w:eastAsia="es-ES"/>
              </w:rPr>
              <w:t>$304.224,00</w:t>
            </w:r>
          </w:p>
        </w:tc>
      </w:tr>
    </w:tbl>
    <w:p w14:paraId="0F2C6A9E" w14:textId="39BB8705" w:rsidR="00141070" w:rsidRPr="00967C9B" w:rsidRDefault="00141070" w:rsidP="00211C07"/>
    <w:sectPr w:rsidR="00141070" w:rsidRPr="00967C9B" w:rsidSect="003B3D5A">
      <w:pgSz w:w="15840" w:h="12240" w:orient="landscape"/>
      <w:pgMar w:top="1701" w:right="851"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12C7C" w14:textId="77777777" w:rsidR="00A23F23" w:rsidRDefault="00A23F23" w:rsidP="00F4243F">
      <w:pPr>
        <w:spacing w:after="0" w:line="240" w:lineRule="auto"/>
      </w:pPr>
      <w:r>
        <w:separator/>
      </w:r>
    </w:p>
  </w:endnote>
  <w:endnote w:type="continuationSeparator" w:id="0">
    <w:p w14:paraId="59C4EC4F" w14:textId="77777777" w:rsidR="00A23F23" w:rsidRDefault="00A23F23" w:rsidP="00F424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ourier">
    <w:panose1 w:val="02070409020205020404"/>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Helvetica Neue">
    <w:altName w:val="Sylfaen"/>
    <w:charset w:val="00"/>
    <w:family w:val="auto"/>
    <w:pitch w:val="variable"/>
    <w:sig w:usb0="E50002FF" w:usb1="500079DB" w:usb2="00000010" w:usb3="00000000" w:csb0="00000001" w:csb1="00000000"/>
  </w:font>
  <w:font w:name="Noto Sans Symbols">
    <w:altName w:val="Cambria"/>
    <w:panose1 w:val="00000000000000000000"/>
    <w:charset w:val="00"/>
    <w:family w:val="roman"/>
    <w:notTrueType/>
    <w:pitch w:val="default"/>
  </w:font>
  <w:font w:name="AppleSystemUIFont">
    <w:altName w:val="Cambri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938FD" w14:textId="77777777" w:rsidR="00837D1E" w:rsidRPr="00F4243F" w:rsidRDefault="00837D1E" w:rsidP="00F4243F">
    <w:pPr>
      <w:pStyle w:val="Footer"/>
      <w:jc w:val="right"/>
      <w:rPr>
        <w:caps/>
        <w:noProof/>
        <w:color w:val="000000" w:themeColor="text1"/>
      </w:rPr>
    </w:pPr>
    <w:r w:rsidRPr="00F4243F">
      <w:rPr>
        <w:caps/>
        <w:color w:val="000000" w:themeColor="text1"/>
      </w:rPr>
      <w:fldChar w:fldCharType="begin"/>
    </w:r>
    <w:r w:rsidRPr="00F4243F">
      <w:rPr>
        <w:caps/>
        <w:color w:val="000000" w:themeColor="text1"/>
      </w:rPr>
      <w:instrText xml:space="preserve"> PAGE   \* MERGEFORMAT </w:instrText>
    </w:r>
    <w:r w:rsidRPr="00F4243F">
      <w:rPr>
        <w:caps/>
        <w:color w:val="000000" w:themeColor="text1"/>
      </w:rPr>
      <w:fldChar w:fldCharType="separate"/>
    </w:r>
    <w:r w:rsidR="00FD785B">
      <w:rPr>
        <w:caps/>
        <w:noProof/>
        <w:color w:val="000000" w:themeColor="text1"/>
      </w:rPr>
      <w:t>2</w:t>
    </w:r>
    <w:r w:rsidRPr="00F4243F">
      <w:rPr>
        <w:caps/>
        <w:noProof/>
        <w:color w:val="000000" w:themeColor="text1"/>
      </w:rPr>
      <w:fldChar w:fldCharType="end"/>
    </w:r>
  </w:p>
  <w:p w14:paraId="5C9D62D8" w14:textId="77777777" w:rsidR="00837D1E" w:rsidRDefault="00837D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DCBC92" w14:textId="77777777" w:rsidR="00A23F23" w:rsidRDefault="00A23F23" w:rsidP="00F4243F">
      <w:pPr>
        <w:spacing w:after="0" w:line="240" w:lineRule="auto"/>
      </w:pPr>
      <w:r>
        <w:separator/>
      </w:r>
    </w:p>
  </w:footnote>
  <w:footnote w:type="continuationSeparator" w:id="0">
    <w:p w14:paraId="65DFB345" w14:textId="77777777" w:rsidR="00A23F23" w:rsidRDefault="00A23F23" w:rsidP="00F4243F">
      <w:pPr>
        <w:spacing w:after="0" w:line="240" w:lineRule="auto"/>
      </w:pPr>
      <w:r>
        <w:continuationSeparator/>
      </w:r>
    </w:p>
  </w:footnote>
  <w:footnote w:id="1">
    <w:p w14:paraId="5DCC095D" w14:textId="77777777" w:rsidR="00DD3961" w:rsidRDefault="00DD3961" w:rsidP="00DD3961">
      <w:pPr>
        <w:pStyle w:val="FootnoteText"/>
      </w:pPr>
      <w:r>
        <w:rPr>
          <w:rStyle w:val="FootnoteReference"/>
        </w:rPr>
        <w:footnoteRef/>
      </w:r>
      <w:r>
        <w:t xml:space="preserve"> These data come from official sources in Ecuador and Colombia represented by the National Statistics Institutes of both countries (INEC, DANE), as well as the statistical information system of ECLAC (CEPALSTAT) and the national demographic and health survey of Colombia. The information is collected through surveys with some regularity.</w:t>
      </w:r>
    </w:p>
  </w:footnote>
  <w:footnote w:id="2">
    <w:p w14:paraId="77901537" w14:textId="77777777" w:rsidR="00DD3961" w:rsidRDefault="00DD3961" w:rsidP="00DD3961">
      <w:pPr>
        <w:pStyle w:val="FootnoteText"/>
        <w:rPr>
          <w:lang w:val="en-US"/>
        </w:rPr>
      </w:pPr>
      <w:r>
        <w:rPr>
          <w:rStyle w:val="FootnoteReference"/>
        </w:rPr>
        <w:footnoteRef/>
      </w:r>
      <w:r>
        <w:t xml:space="preserve"> The Municipalities of: </w:t>
      </w:r>
      <w:r>
        <w:t>Cumbal, Guachucal, Mallama, Santa Cruz de Guachavez, Ricaurte, Tumaco and Barbacóas</w:t>
      </w:r>
    </w:p>
  </w:footnote>
  <w:footnote w:id="3">
    <w:p w14:paraId="6D8AD66A" w14:textId="77777777" w:rsidR="00DD3961" w:rsidRDefault="00DD3961" w:rsidP="00DD3961">
      <w:pPr>
        <w:pStyle w:val="FootnoteText"/>
        <w:rPr>
          <w:lang w:val="es-ES"/>
        </w:rPr>
      </w:pPr>
      <w:r>
        <w:rPr>
          <w:rStyle w:val="FootnoteReference"/>
        </w:rPr>
        <w:footnoteRef/>
      </w:r>
      <w:r>
        <w:rPr>
          <w:lang w:val="es-ES"/>
        </w:rPr>
        <w:t xml:space="preserve"> In Imbabura </w:t>
      </w:r>
      <w:r>
        <w:rPr>
          <w:lang w:val="es-ES"/>
        </w:rPr>
        <w:t>the municipalities: Ibarra, Antonio Ante, Cotacachi, Otavalo, Pimampiro, San Miguel de Urcuquí; in Carchi the municipalities: Bolívar, Tulcán, Espejo, Mira, Montufar, San Pedro Huaca; in Esmeraldas, the San Lorenzo municipality.</w:t>
      </w:r>
    </w:p>
  </w:footnote>
  <w:footnote w:id="4">
    <w:p w14:paraId="02508F08" w14:textId="77777777" w:rsidR="00DD3961" w:rsidRDefault="00DD3961" w:rsidP="00DD3961">
      <w:pPr>
        <w:pStyle w:val="FootnoteText"/>
      </w:pPr>
      <w:r>
        <w:rPr>
          <w:rStyle w:val="FootnoteReference"/>
        </w:rPr>
        <w:footnoteRef/>
      </w:r>
      <w:r>
        <w:t xml:space="preserve"> Information base population census (INEC, 2010) and DANE 2014</w:t>
      </w:r>
    </w:p>
  </w:footnote>
  <w:footnote w:id="5">
    <w:p w14:paraId="678BD662" w14:textId="77777777" w:rsidR="00DD3961" w:rsidRDefault="00DD3961" w:rsidP="00DD3961">
      <w:pPr>
        <w:pStyle w:val="FootnoteText"/>
      </w:pPr>
      <w:r>
        <w:rPr>
          <w:rStyle w:val="FootnoteReference"/>
        </w:rPr>
        <w:footnoteRef/>
      </w:r>
      <w:r>
        <w:t xml:space="preserve"> Working group at the Binational Actors Workshop in Ibarra (September 21, 2018) with a participation of 95% male participants and 5% female participants.</w:t>
      </w:r>
    </w:p>
  </w:footnote>
  <w:footnote w:id="6">
    <w:p w14:paraId="7AAC5B72" w14:textId="77777777" w:rsidR="00DD3961" w:rsidRDefault="00DD3961" w:rsidP="00DD3961">
      <w:pPr>
        <w:pStyle w:val="FootnoteText"/>
      </w:pPr>
      <w:r>
        <w:rPr>
          <w:rStyle w:val="FootnoteReference"/>
        </w:rPr>
        <w:footnoteRef/>
      </w:r>
      <w:r>
        <w:t xml:space="preserve"> It refers to the assignment to women and men of different activities and responsibilities, granting them a hierarchy and differentiated social, economic, political and cultural value.</w:t>
      </w:r>
    </w:p>
  </w:footnote>
  <w:footnote w:id="7">
    <w:p w14:paraId="413D2032" w14:textId="77777777" w:rsidR="00DD3961" w:rsidRDefault="00DD3961" w:rsidP="00DD3961">
      <w:pPr>
        <w:pStyle w:val="FootnoteText"/>
      </w:pPr>
      <w:r>
        <w:rPr>
          <w:rStyle w:val="FootnoteReference"/>
        </w:rPr>
        <w:footnoteRef/>
      </w:r>
      <w:r>
        <w:t xml:space="preserve"> Working group in a binational workshop of actors in Ibarra (September 21, 2018).</w:t>
      </w:r>
    </w:p>
  </w:footnote>
  <w:footnote w:id="8">
    <w:p w14:paraId="6108FAB3" w14:textId="77777777" w:rsidR="00DD3961" w:rsidRDefault="00DD3961" w:rsidP="00DD3961">
      <w:pPr>
        <w:pStyle w:val="FootnoteText"/>
      </w:pPr>
      <w:r>
        <w:rPr>
          <w:rStyle w:val="FootnoteReference"/>
        </w:rPr>
        <w:footnoteRef/>
      </w:r>
      <w:r>
        <w:t xml:space="preserve"> It is reported on the Board of Irrigators of Pueblo Viejo (in Carchi) where most of the participants in the issue of irrigation are over 65 years of age (80% are men).</w:t>
      </w:r>
    </w:p>
  </w:footnote>
  <w:footnote w:id="9">
    <w:p w14:paraId="30868B61" w14:textId="77777777" w:rsidR="00DD3961" w:rsidRDefault="00DD3961" w:rsidP="00DD3961">
      <w:pPr>
        <w:pStyle w:val="FootnoteText"/>
      </w:pPr>
      <w:r>
        <w:rPr>
          <w:rStyle w:val="FootnoteReference"/>
        </w:rPr>
        <w:footnoteRef/>
      </w:r>
      <w:r>
        <w:t xml:space="preserve"> It is reported that women in their daily activities must assign additional hours to devote to participation in the community meetings</w:t>
      </w:r>
    </w:p>
  </w:footnote>
  <w:footnote w:id="10">
    <w:p w14:paraId="349DE6B9" w14:textId="77777777" w:rsidR="00DD3961" w:rsidRDefault="00DD3961" w:rsidP="00DD3961">
      <w:pPr>
        <w:pStyle w:val="FootnoteText"/>
      </w:pPr>
      <w:r>
        <w:rPr>
          <w:rStyle w:val="FootnoteReference"/>
        </w:rPr>
        <w:footnoteRef/>
      </w:r>
      <w:r>
        <w:t xml:space="preserve"> Organic Law on water resources, uses and use of water (2014): Art. 25, Water Basin Councils.</w:t>
      </w:r>
    </w:p>
  </w:footnote>
  <w:footnote w:id="11">
    <w:p w14:paraId="28A922EC" w14:textId="77777777" w:rsidR="00DD3961" w:rsidRDefault="00DD3961" w:rsidP="00DD3961">
      <w:pPr>
        <w:pStyle w:val="FootnoteText"/>
      </w:pPr>
      <w:r>
        <w:rPr>
          <w:rStyle w:val="FootnoteReference"/>
        </w:rPr>
        <w:footnoteRef/>
      </w:r>
      <w:r>
        <w:t xml:space="preserve"> The water resources law says that it is the basin council that </w:t>
      </w:r>
      <w:r>
        <w:t>has to have numerical representation of the local planning and hydrographic units.</w:t>
      </w:r>
    </w:p>
  </w:footnote>
  <w:footnote w:id="12">
    <w:p w14:paraId="7BAD77CB" w14:textId="77777777" w:rsidR="00DD3961" w:rsidRDefault="00DD3961" w:rsidP="00DD3961">
      <w:pPr>
        <w:pStyle w:val="FootnoteText"/>
      </w:pPr>
      <w:r>
        <w:rPr>
          <w:rStyle w:val="FootnoteReference"/>
        </w:rPr>
        <w:footnoteRef/>
      </w:r>
      <w:r>
        <w:t xml:space="preserve"> Organic Law on water resources, uses and use of water (2014): Article 62, women and the human right to water.</w:t>
      </w:r>
    </w:p>
  </w:footnote>
  <w:footnote w:id="13">
    <w:p w14:paraId="48D9B290" w14:textId="77777777" w:rsidR="00DD3961" w:rsidRDefault="00DD3961" w:rsidP="00DD3961">
      <w:pPr>
        <w:pStyle w:val="FootnoteText"/>
        <w:rPr>
          <w:lang w:val="en-US"/>
        </w:rPr>
      </w:pPr>
      <w:r>
        <w:rPr>
          <w:rStyle w:val="FootnoteReference"/>
        </w:rPr>
        <w:footnoteRef/>
      </w:r>
      <w:r>
        <w:t xml:space="preserve"> Source Ecuador: Population census (2010), Source Colombia: DANE, 2015</w:t>
      </w:r>
    </w:p>
  </w:footnote>
  <w:footnote w:id="14">
    <w:p w14:paraId="62A4160D" w14:textId="77777777" w:rsidR="00DD3961" w:rsidRDefault="00DD3961" w:rsidP="00DD3961">
      <w:pPr>
        <w:pStyle w:val="FootnoteText"/>
      </w:pPr>
      <w:r>
        <w:rPr>
          <w:rStyle w:val="FootnoteReference"/>
        </w:rPr>
        <w:footnoteRef/>
      </w:r>
      <w:r>
        <w:t xml:space="preserve"> The </w:t>
      </w:r>
      <w:r>
        <w:t>piangua is a small mollusk born in the mangroves of much of the Pacific coast of America</w:t>
      </w:r>
    </w:p>
  </w:footnote>
  <w:footnote w:id="15">
    <w:p w14:paraId="4BEEE576" w14:textId="77777777" w:rsidR="00DD3961" w:rsidRDefault="00DD3961" w:rsidP="00DD3961">
      <w:pPr>
        <w:pStyle w:val="FootnoteText"/>
        <w:rPr>
          <w:lang w:val="es-ES"/>
        </w:rPr>
      </w:pPr>
      <w:r>
        <w:rPr>
          <w:rStyle w:val="FootnoteReference"/>
        </w:rPr>
        <w:footnoteRef/>
      </w:r>
      <w:r>
        <w:rPr>
          <w:lang w:val="es-ES"/>
        </w:rPr>
        <w:t xml:space="preserve"> </w:t>
      </w:r>
      <w:r>
        <w:rPr>
          <w:lang w:val="es-ES"/>
        </w:rPr>
        <w:t xml:space="preserve">The Municipalities of: Aldana, Ancuya, Cordoba, Consaca, Contadero, Cuaspud, Cumbal, El Peñol, El Tambo, Funes, Guachucal, Guaitarilla, Gualmatan, Iles, Imues, Ipiales, Florida, La Llanada, Linares, Los Andes, </w:t>
      </w:r>
      <w:r>
        <w:rPr>
          <w:lang w:val="es-ES"/>
        </w:rPr>
        <w:t>Ospina , Pasto, Potosi, Providencia, Puerres, Pupiales, Samaniego, Sandona, Santa Cruz, Sapuyes, Tuquerres, Tangua, Yacuanquer.</w:t>
      </w:r>
    </w:p>
  </w:footnote>
  <w:footnote w:id="16">
    <w:p w14:paraId="26E5B98F" w14:textId="77777777" w:rsidR="00DD3961" w:rsidRDefault="00DD3961" w:rsidP="00DD3961">
      <w:pPr>
        <w:pStyle w:val="FootnoteText"/>
      </w:pPr>
      <w:r>
        <w:rPr>
          <w:rStyle w:val="FootnoteReference"/>
        </w:rPr>
        <w:footnoteRef/>
      </w:r>
      <w:r>
        <w:t xml:space="preserve"> The municipalities of: </w:t>
      </w:r>
      <w:r>
        <w:t>Tulcán, Espejo and Montufar.</w:t>
      </w:r>
    </w:p>
  </w:footnote>
  <w:footnote w:id="17">
    <w:p w14:paraId="560C66AF" w14:textId="77777777" w:rsidR="00DD3961" w:rsidRDefault="00DD3961" w:rsidP="00DD3961">
      <w:pPr>
        <w:pStyle w:val="FootnoteText"/>
      </w:pPr>
      <w:r>
        <w:rPr>
          <w:rStyle w:val="FootnoteReference"/>
        </w:rPr>
        <w:footnoteRef/>
      </w:r>
      <w:r>
        <w:t xml:space="preserve"> Encounter of </w:t>
      </w:r>
      <w:r>
        <w:t>Subregional Alliances of Women of the Nariñense Mountain Range (November 24, 2018).</w:t>
      </w:r>
    </w:p>
  </w:footnote>
  <w:footnote w:id="18">
    <w:p w14:paraId="34CC2935" w14:textId="77777777" w:rsidR="00DD3961" w:rsidRDefault="00DD3961" w:rsidP="00DD3961">
      <w:pPr>
        <w:pStyle w:val="FootnoteText"/>
      </w:pPr>
      <w:r>
        <w:rPr>
          <w:rStyle w:val="FootnoteReference"/>
        </w:rPr>
        <w:footnoteRef/>
      </w:r>
      <w:r>
        <w:t xml:space="preserve"> Working group in a binational workshop of actors in Ibarra (September 21, 2018).</w:t>
      </w:r>
    </w:p>
  </w:footnote>
  <w:footnote w:id="19">
    <w:p w14:paraId="1755A3BC" w14:textId="77777777" w:rsidR="00DD3961" w:rsidRDefault="00DD3961" w:rsidP="00DD3961">
      <w:pPr>
        <w:pStyle w:val="FootnoteText"/>
      </w:pPr>
      <w:r>
        <w:rPr>
          <w:rStyle w:val="FootnoteReference"/>
        </w:rPr>
        <w:footnoteRef/>
      </w:r>
      <w:r>
        <w:t xml:space="preserve"> Resolution 509: Requirements to request the accreditation of environmental control investments before the competent environmental authorities.</w:t>
      </w:r>
    </w:p>
    <w:p w14:paraId="4B770FBB" w14:textId="77777777" w:rsidR="00DD3961" w:rsidRDefault="00DD3961" w:rsidP="00DD3961">
      <w:pPr>
        <w:pStyle w:val="FootnoteText"/>
      </w:pPr>
      <w:r>
        <w:t>http://www.andi.com.co/Uploads/Res-509-requisitos-Certificacion-Renta.pdf</w:t>
      </w:r>
    </w:p>
  </w:footnote>
  <w:footnote w:id="20">
    <w:p w14:paraId="31A347C2" w14:textId="77777777" w:rsidR="00DD3961" w:rsidRDefault="00DD3961" w:rsidP="00DD3961">
      <w:pPr>
        <w:pStyle w:val="FootnoteText"/>
      </w:pPr>
      <w:r>
        <w:rPr>
          <w:rStyle w:val="FootnoteReference"/>
        </w:rPr>
        <w:footnoteRef/>
      </w:r>
      <w:r>
        <w:t xml:space="preserve"> The Community Action Boards are civil organizations that promote citizen participation in the management of their communities. At the same time, they serve as a means of dialogue with the national, departmental and municipal governments.</w:t>
      </w:r>
    </w:p>
  </w:footnote>
  <w:footnote w:id="21">
    <w:p w14:paraId="6004BA9C" w14:textId="77777777" w:rsidR="00DD3961" w:rsidRDefault="00DD3961" w:rsidP="00DD3961">
      <w:pPr>
        <w:pStyle w:val="FootnoteText"/>
      </w:pPr>
      <w:r>
        <w:rPr>
          <w:rStyle w:val="FootnoteReference"/>
        </w:rPr>
        <w:footnoteRef/>
      </w:r>
      <w:r>
        <w:t xml:space="preserve"> Designated marker according to UNDP information (2013) Gender Mainstreaming made easy: Handbook for program staff.</w:t>
      </w:r>
    </w:p>
  </w:footnote>
  <w:footnote w:id="22">
    <w:p w14:paraId="0402A758" w14:textId="7C67D3BB" w:rsidR="00837D1E" w:rsidRPr="005A0AFF" w:rsidRDefault="00837D1E">
      <w:pPr>
        <w:pStyle w:val="FootnoteText"/>
      </w:pPr>
      <w:r>
        <w:rPr>
          <w:rStyle w:val="FootnoteReference"/>
        </w:rPr>
        <w:footnoteRef/>
      </w:r>
      <w:r>
        <w:t xml:space="preserve"> </w:t>
      </w:r>
      <w:r w:rsidRPr="005A0AFF">
        <w:t>It refers to actions aimed at accelerating de facto equality between women and men that can, in the short term, favo</w:t>
      </w:r>
      <w:r>
        <w:t>u</w:t>
      </w:r>
      <w:r w:rsidRPr="005A0AFF">
        <w:t>r women. Other terms that are usually used to refer to such "special measures" in their corrective, compensatory and promotional nature are "affirmative action", "positive action", "positive measures", "reverse discrimination", and "positive discrimination" (UN Women, 2019).</w:t>
      </w:r>
    </w:p>
  </w:footnote>
  <w:footnote w:id="23">
    <w:p w14:paraId="3345368A" w14:textId="2D4C0AC6" w:rsidR="00837D1E" w:rsidRPr="00F4243F" w:rsidRDefault="00837D1E">
      <w:pPr>
        <w:pStyle w:val="FootnoteText"/>
        <w:rPr>
          <w:lang w:val="en-US"/>
        </w:rPr>
      </w:pPr>
      <w:r>
        <w:rPr>
          <w:rStyle w:val="FootnoteReference"/>
        </w:rPr>
        <w:footnoteRef/>
      </w:r>
      <w:r>
        <w:t xml:space="preserve"> </w:t>
      </w:r>
      <w:r w:rsidRPr="00F4243F">
        <w:t>For details of the findings refer to "Gender diagnosis: situation analysis in the Mira</w:t>
      </w:r>
      <w:r>
        <w:t>-</w:t>
      </w:r>
      <w:r w:rsidRPr="00F4243F">
        <w:t>Mataje, Carchi</w:t>
      </w:r>
      <w:r>
        <w:t>-</w:t>
      </w:r>
      <w:r w:rsidRPr="00F4243F">
        <w:t>Guáitara basins" (2018).</w:t>
      </w:r>
    </w:p>
  </w:footnote>
  <w:footnote w:id="24">
    <w:p w14:paraId="55521838" w14:textId="77777777" w:rsidR="00837D1E" w:rsidRPr="00597800" w:rsidRDefault="00837D1E" w:rsidP="008275D1">
      <w:pPr>
        <w:pStyle w:val="FootnoteText"/>
        <w:rPr>
          <w:lang w:val="en-US"/>
        </w:rPr>
      </w:pPr>
      <w:r>
        <w:rPr>
          <w:rStyle w:val="FootnoteReference"/>
        </w:rPr>
        <w:footnoteRef/>
      </w:r>
      <w:r>
        <w:t xml:space="preserve"> </w:t>
      </w:r>
      <w:r w:rsidRPr="005A0AFF">
        <w:t>The guiding questions were used to elaborate ABC's PRODOC cycle of projects with a gender focus. UNDP Colombia. Melo, C. 2017.</w:t>
      </w:r>
    </w:p>
  </w:footnote>
  <w:footnote w:id="25">
    <w:p w14:paraId="633BF30E" w14:textId="04730164" w:rsidR="00837D1E" w:rsidRPr="005A0AFF" w:rsidRDefault="00837D1E">
      <w:pPr>
        <w:pStyle w:val="FootnoteText"/>
        <w:rPr>
          <w:lang w:val="en-US"/>
        </w:rPr>
      </w:pPr>
      <w:r>
        <w:rPr>
          <w:rStyle w:val="FootnoteReference"/>
        </w:rPr>
        <w:footnoteRef/>
      </w:r>
      <w:r>
        <w:t xml:space="preserve"> </w:t>
      </w:r>
      <w:r w:rsidRPr="005A0AFF">
        <w:t>These assessments have been determined according to the consultations established in the diagnosis, as well as in the consultations for the elaboration of the project.</w:t>
      </w:r>
    </w:p>
  </w:footnote>
  <w:footnote w:id="26">
    <w:p w14:paraId="359BE83E" w14:textId="06CF8477" w:rsidR="00837D1E" w:rsidRPr="00597800" w:rsidRDefault="00837D1E">
      <w:pPr>
        <w:pStyle w:val="FootnoteText"/>
        <w:rPr>
          <w:lang w:val="en-US"/>
        </w:rPr>
      </w:pPr>
      <w:r>
        <w:rPr>
          <w:rStyle w:val="FootnoteReference"/>
        </w:rPr>
        <w:footnoteRef/>
      </w:r>
      <w:r>
        <w:t xml:space="preserve"> </w:t>
      </w:r>
      <w:r w:rsidRPr="005A0AFF">
        <w:rPr>
          <w:rFonts w:asciiTheme="majorHAnsi" w:hAnsiTheme="majorHAnsi" w:cs="AppleSystemUIFont"/>
          <w:sz w:val="18"/>
          <w:szCs w:val="18"/>
          <w:lang w:val="en-US"/>
        </w:rPr>
        <w:t xml:space="preserve">UNDP. (2017). Guidance notes. </w:t>
      </w:r>
      <w:r w:rsidRPr="001644C2">
        <w:rPr>
          <w:rFonts w:asciiTheme="majorHAnsi" w:hAnsiTheme="majorHAnsi" w:cs="AppleSystemUIFont"/>
          <w:sz w:val="18"/>
          <w:szCs w:val="18"/>
          <w:lang w:val="en-US"/>
        </w:rPr>
        <w:t>UNPD Social and Environmental Standards. Standard 6: Indigenous Peoples.</w:t>
      </w:r>
    </w:p>
  </w:footnote>
  <w:footnote w:id="27">
    <w:p w14:paraId="09923DBF" w14:textId="46882BC3" w:rsidR="00837D1E" w:rsidRPr="00597800" w:rsidRDefault="00837D1E">
      <w:pPr>
        <w:pStyle w:val="FootnoteText"/>
        <w:rPr>
          <w:lang w:val="en-US"/>
        </w:rPr>
      </w:pPr>
      <w:r>
        <w:rPr>
          <w:rStyle w:val="FootnoteReference"/>
        </w:rPr>
        <w:footnoteRef/>
      </w:r>
      <w:r>
        <w:t xml:space="preserve"> </w:t>
      </w:r>
      <w:r w:rsidRPr="001644C2">
        <w:rPr>
          <w:rFonts w:asciiTheme="majorHAnsi" w:hAnsiTheme="majorHAnsi" w:cs="AppleSystemUIFont"/>
          <w:sz w:val="18"/>
          <w:szCs w:val="18"/>
          <w:lang w:val="en-US"/>
        </w:rPr>
        <w:t>UNDP. Stakeholders Response mechanism: Overview and Guidance. (2014).</w:t>
      </w:r>
    </w:p>
  </w:footnote>
  <w:footnote w:id="28">
    <w:p w14:paraId="423E587E" w14:textId="31630563" w:rsidR="00837D1E" w:rsidRPr="005A0AFF" w:rsidRDefault="00837D1E">
      <w:pPr>
        <w:pStyle w:val="FootnoteText"/>
        <w:rPr>
          <w:lang w:val="es-MX"/>
        </w:rPr>
      </w:pPr>
      <w:r>
        <w:rPr>
          <w:rStyle w:val="FootnoteReference"/>
        </w:rPr>
        <w:footnoteRef/>
      </w:r>
      <w:r>
        <w:t xml:space="preserve"> </w:t>
      </w:r>
      <w:r w:rsidRPr="001644C2">
        <w:rPr>
          <w:rFonts w:asciiTheme="majorHAnsi" w:hAnsiTheme="majorHAnsi" w:cs="AppleSystemUIFont"/>
          <w:sz w:val="18"/>
          <w:szCs w:val="18"/>
          <w:lang w:val="en-US"/>
        </w:rPr>
        <w:t xml:space="preserve">UNDP. Stakeholders Response mechanism: Overview and Guidance. </w:t>
      </w:r>
      <w:r w:rsidRPr="002A4360">
        <w:rPr>
          <w:rFonts w:asciiTheme="majorHAnsi" w:hAnsiTheme="majorHAnsi" w:cs="AppleSystemUIFont"/>
          <w:sz w:val="18"/>
          <w:szCs w:val="18"/>
          <w:lang w:val="es-ES"/>
        </w:rPr>
        <w:t>(2014).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8377B"/>
    <w:multiLevelType w:val="hybridMultilevel"/>
    <w:tmpl w:val="4F8035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B735E1B"/>
    <w:multiLevelType w:val="hybridMultilevel"/>
    <w:tmpl w:val="0928B1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F719FF"/>
    <w:multiLevelType w:val="hybridMultilevel"/>
    <w:tmpl w:val="DBDC3F8A"/>
    <w:lvl w:ilvl="0" w:tplc="62327020">
      <w:start w:val="1"/>
      <w:numFmt w:val="lowerLetter"/>
      <w:lvlText w:val="(%1)"/>
      <w:lvlJc w:val="left"/>
      <w:pPr>
        <w:ind w:left="360" w:hanging="360"/>
      </w:pPr>
      <w:rPr>
        <w:rFonts w:ascii="Calibri" w:hAnsi="Calibri" w:cs="Calibri" w:hint="default"/>
        <w:color w:val="000000"/>
        <w:sz w:val="22"/>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 w15:restartNumberingAfterBreak="0">
    <w:nsid w:val="19D83174"/>
    <w:multiLevelType w:val="multilevel"/>
    <w:tmpl w:val="4D3672E4"/>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96371F"/>
    <w:multiLevelType w:val="hybridMultilevel"/>
    <w:tmpl w:val="9CB092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5556D7A"/>
    <w:multiLevelType w:val="multilevel"/>
    <w:tmpl w:val="55A2B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EC0CCE"/>
    <w:multiLevelType w:val="multilevel"/>
    <w:tmpl w:val="E8522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C96D6A"/>
    <w:multiLevelType w:val="multilevel"/>
    <w:tmpl w:val="798C7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E408ED"/>
    <w:multiLevelType w:val="multilevel"/>
    <w:tmpl w:val="2146D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CA24FA"/>
    <w:multiLevelType w:val="hybridMultilevel"/>
    <w:tmpl w:val="702A597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15:restartNumberingAfterBreak="0">
    <w:nsid w:val="436D6781"/>
    <w:multiLevelType w:val="hybridMultilevel"/>
    <w:tmpl w:val="3A22AEA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1" w15:restartNumberingAfterBreak="0">
    <w:nsid w:val="44C45D3C"/>
    <w:multiLevelType w:val="hybridMultilevel"/>
    <w:tmpl w:val="FE268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F3032C9"/>
    <w:multiLevelType w:val="hybridMultilevel"/>
    <w:tmpl w:val="F41A0A9A"/>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1EE653F"/>
    <w:multiLevelType w:val="hybridMultilevel"/>
    <w:tmpl w:val="EDC65D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C8D589C"/>
    <w:multiLevelType w:val="multilevel"/>
    <w:tmpl w:val="45DEE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47124D"/>
    <w:multiLevelType w:val="hybridMultilevel"/>
    <w:tmpl w:val="A9521E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48F1008"/>
    <w:multiLevelType w:val="multilevel"/>
    <w:tmpl w:val="5C269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A495108"/>
    <w:multiLevelType w:val="multilevel"/>
    <w:tmpl w:val="AF18C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561E8F"/>
    <w:multiLevelType w:val="hybridMultilevel"/>
    <w:tmpl w:val="6B5E7B1A"/>
    <w:lvl w:ilvl="0" w:tplc="1ED8CA02">
      <w:start w:val="1"/>
      <w:numFmt w:val="decimal"/>
      <w:lvlText w:val="%1."/>
      <w:lvlJc w:val="left"/>
      <w:pPr>
        <w:ind w:left="720" w:hanging="360"/>
      </w:pPr>
      <w:rPr>
        <w:rFonts w:ascii="Calibri" w:hAnsi="Calibri" w:cs="Calibri" w:hint="default"/>
        <w:color w:val="000000"/>
        <w:sz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FB6699B"/>
    <w:multiLevelType w:val="multilevel"/>
    <w:tmpl w:val="4DA4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6D1BAC"/>
    <w:multiLevelType w:val="hybridMultilevel"/>
    <w:tmpl w:val="3E7814C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15:restartNumberingAfterBreak="0">
    <w:nsid w:val="794814D9"/>
    <w:multiLevelType w:val="multilevel"/>
    <w:tmpl w:val="1794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23679A"/>
    <w:multiLevelType w:val="hybridMultilevel"/>
    <w:tmpl w:val="B39C15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20"/>
  </w:num>
  <w:num w:numId="4">
    <w:abstractNumId w:val="22"/>
  </w:num>
  <w:num w:numId="5">
    <w:abstractNumId w:val="3"/>
  </w:num>
  <w:num w:numId="6">
    <w:abstractNumId w:val="14"/>
  </w:num>
  <w:num w:numId="7">
    <w:abstractNumId w:val="8"/>
  </w:num>
  <w:num w:numId="8">
    <w:abstractNumId w:val="16"/>
  </w:num>
  <w:num w:numId="9">
    <w:abstractNumId w:val="18"/>
  </w:num>
  <w:num w:numId="10">
    <w:abstractNumId w:val="6"/>
  </w:num>
  <w:num w:numId="11">
    <w:abstractNumId w:val="19"/>
  </w:num>
  <w:num w:numId="12">
    <w:abstractNumId w:val="12"/>
  </w:num>
  <w:num w:numId="13">
    <w:abstractNumId w:val="17"/>
  </w:num>
  <w:num w:numId="14">
    <w:abstractNumId w:val="15"/>
  </w:num>
  <w:num w:numId="15">
    <w:abstractNumId w:val="4"/>
  </w:num>
  <w:num w:numId="16">
    <w:abstractNumId w:val="23"/>
  </w:num>
  <w:num w:numId="17">
    <w:abstractNumId w:val="10"/>
  </w:num>
  <w:num w:numId="18">
    <w:abstractNumId w:val="1"/>
  </w:num>
  <w:num w:numId="19">
    <w:abstractNumId w:val="9"/>
  </w:num>
  <w:num w:numId="20">
    <w:abstractNumId w:val="21"/>
  </w:num>
  <w:num w:numId="21">
    <w:abstractNumId w:val="0"/>
  </w:num>
  <w:num w:numId="22">
    <w:abstractNumId w:val="11"/>
  </w:num>
  <w:num w:numId="23">
    <w:abstractNumId w:val="13"/>
  </w:num>
  <w:num w:numId="24">
    <w:abstractNumId w:val="2"/>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070"/>
    <w:rsid w:val="00004094"/>
    <w:rsid w:val="00004BEA"/>
    <w:rsid w:val="00006E87"/>
    <w:rsid w:val="00011574"/>
    <w:rsid w:val="00016AA7"/>
    <w:rsid w:val="00017A60"/>
    <w:rsid w:val="000272B5"/>
    <w:rsid w:val="000316F5"/>
    <w:rsid w:val="00034A0E"/>
    <w:rsid w:val="0004667F"/>
    <w:rsid w:val="00052169"/>
    <w:rsid w:val="00054A68"/>
    <w:rsid w:val="0006387E"/>
    <w:rsid w:val="000719BB"/>
    <w:rsid w:val="00074F19"/>
    <w:rsid w:val="00076CF2"/>
    <w:rsid w:val="00084DC6"/>
    <w:rsid w:val="000945A8"/>
    <w:rsid w:val="000B1248"/>
    <w:rsid w:val="000B2C33"/>
    <w:rsid w:val="000B3C76"/>
    <w:rsid w:val="000B4651"/>
    <w:rsid w:val="000B6227"/>
    <w:rsid w:val="000B7ECA"/>
    <w:rsid w:val="000C319C"/>
    <w:rsid w:val="000C530D"/>
    <w:rsid w:val="000D00AD"/>
    <w:rsid w:val="000D1E3D"/>
    <w:rsid w:val="000D7B34"/>
    <w:rsid w:val="000F48E6"/>
    <w:rsid w:val="000F6667"/>
    <w:rsid w:val="00104BF8"/>
    <w:rsid w:val="0011053F"/>
    <w:rsid w:val="001222A5"/>
    <w:rsid w:val="00124C5F"/>
    <w:rsid w:val="00141070"/>
    <w:rsid w:val="001472C2"/>
    <w:rsid w:val="00157C50"/>
    <w:rsid w:val="001625BC"/>
    <w:rsid w:val="00170D70"/>
    <w:rsid w:val="00185BBA"/>
    <w:rsid w:val="00185FF2"/>
    <w:rsid w:val="00186D2E"/>
    <w:rsid w:val="00194BE4"/>
    <w:rsid w:val="001A726D"/>
    <w:rsid w:val="001B2EDB"/>
    <w:rsid w:val="001C45DA"/>
    <w:rsid w:val="001D39CE"/>
    <w:rsid w:val="001D75E9"/>
    <w:rsid w:val="001F0A9F"/>
    <w:rsid w:val="0020193D"/>
    <w:rsid w:val="00202F44"/>
    <w:rsid w:val="002041CF"/>
    <w:rsid w:val="00207331"/>
    <w:rsid w:val="00211C07"/>
    <w:rsid w:val="00216D76"/>
    <w:rsid w:val="002178C6"/>
    <w:rsid w:val="0022044F"/>
    <w:rsid w:val="00232A8A"/>
    <w:rsid w:val="00237275"/>
    <w:rsid w:val="00243EA0"/>
    <w:rsid w:val="00254566"/>
    <w:rsid w:val="00257086"/>
    <w:rsid w:val="002646E5"/>
    <w:rsid w:val="002650EE"/>
    <w:rsid w:val="002657D9"/>
    <w:rsid w:val="002A2769"/>
    <w:rsid w:val="002A32AE"/>
    <w:rsid w:val="002A5DBF"/>
    <w:rsid w:val="002D2219"/>
    <w:rsid w:val="002D5720"/>
    <w:rsid w:val="002D6486"/>
    <w:rsid w:val="002E033E"/>
    <w:rsid w:val="002E4F8C"/>
    <w:rsid w:val="002F77DB"/>
    <w:rsid w:val="00312A93"/>
    <w:rsid w:val="00315876"/>
    <w:rsid w:val="00320C37"/>
    <w:rsid w:val="00323084"/>
    <w:rsid w:val="00324C0D"/>
    <w:rsid w:val="00344544"/>
    <w:rsid w:val="00345ACC"/>
    <w:rsid w:val="00351F4C"/>
    <w:rsid w:val="003530E2"/>
    <w:rsid w:val="00356721"/>
    <w:rsid w:val="00375660"/>
    <w:rsid w:val="00376D9C"/>
    <w:rsid w:val="00382FB1"/>
    <w:rsid w:val="00385F87"/>
    <w:rsid w:val="00387582"/>
    <w:rsid w:val="003960B2"/>
    <w:rsid w:val="003A070F"/>
    <w:rsid w:val="003B2996"/>
    <w:rsid w:val="003B3D5A"/>
    <w:rsid w:val="003B4519"/>
    <w:rsid w:val="003C0C0C"/>
    <w:rsid w:val="003C6F27"/>
    <w:rsid w:val="003D039D"/>
    <w:rsid w:val="003E3193"/>
    <w:rsid w:val="003F16A4"/>
    <w:rsid w:val="003F6C84"/>
    <w:rsid w:val="00402945"/>
    <w:rsid w:val="00402C85"/>
    <w:rsid w:val="00407D41"/>
    <w:rsid w:val="00424246"/>
    <w:rsid w:val="00426EC2"/>
    <w:rsid w:val="00440897"/>
    <w:rsid w:val="00441FDF"/>
    <w:rsid w:val="0046027A"/>
    <w:rsid w:val="00461C2A"/>
    <w:rsid w:val="00466D5B"/>
    <w:rsid w:val="00475D7E"/>
    <w:rsid w:val="00475F75"/>
    <w:rsid w:val="004774A4"/>
    <w:rsid w:val="00481B35"/>
    <w:rsid w:val="004872C8"/>
    <w:rsid w:val="004A6FC8"/>
    <w:rsid w:val="004B3FB0"/>
    <w:rsid w:val="004B65ED"/>
    <w:rsid w:val="004C3C0C"/>
    <w:rsid w:val="004C6259"/>
    <w:rsid w:val="004D09A4"/>
    <w:rsid w:val="004D2661"/>
    <w:rsid w:val="004D601D"/>
    <w:rsid w:val="004E61C5"/>
    <w:rsid w:val="004F07B4"/>
    <w:rsid w:val="004F4C66"/>
    <w:rsid w:val="0050352B"/>
    <w:rsid w:val="00520FB1"/>
    <w:rsid w:val="005221BE"/>
    <w:rsid w:val="005243BC"/>
    <w:rsid w:val="00525478"/>
    <w:rsid w:val="005301CD"/>
    <w:rsid w:val="005347E9"/>
    <w:rsid w:val="00570276"/>
    <w:rsid w:val="00570634"/>
    <w:rsid w:val="005710C3"/>
    <w:rsid w:val="00574189"/>
    <w:rsid w:val="00574F7D"/>
    <w:rsid w:val="005819FD"/>
    <w:rsid w:val="005821A9"/>
    <w:rsid w:val="00585DE9"/>
    <w:rsid w:val="00593BE2"/>
    <w:rsid w:val="00594B84"/>
    <w:rsid w:val="00597800"/>
    <w:rsid w:val="005A0AFF"/>
    <w:rsid w:val="005A1A8D"/>
    <w:rsid w:val="005A3B55"/>
    <w:rsid w:val="005B78E0"/>
    <w:rsid w:val="005C1B21"/>
    <w:rsid w:val="005C6552"/>
    <w:rsid w:val="005F256E"/>
    <w:rsid w:val="005F61D8"/>
    <w:rsid w:val="00602AC2"/>
    <w:rsid w:val="00611267"/>
    <w:rsid w:val="00616EA5"/>
    <w:rsid w:val="0062031F"/>
    <w:rsid w:val="00640742"/>
    <w:rsid w:val="00642C77"/>
    <w:rsid w:val="006518C1"/>
    <w:rsid w:val="0065408E"/>
    <w:rsid w:val="006617E5"/>
    <w:rsid w:val="006636E4"/>
    <w:rsid w:val="006671E6"/>
    <w:rsid w:val="00680D69"/>
    <w:rsid w:val="0069062A"/>
    <w:rsid w:val="00696F47"/>
    <w:rsid w:val="0069791E"/>
    <w:rsid w:val="006A038A"/>
    <w:rsid w:val="006A4585"/>
    <w:rsid w:val="006A5A90"/>
    <w:rsid w:val="006A5B94"/>
    <w:rsid w:val="006B4661"/>
    <w:rsid w:val="006C215E"/>
    <w:rsid w:val="006C2A9D"/>
    <w:rsid w:val="006D01E1"/>
    <w:rsid w:val="006F462E"/>
    <w:rsid w:val="00706182"/>
    <w:rsid w:val="00706C6C"/>
    <w:rsid w:val="00710E07"/>
    <w:rsid w:val="00736148"/>
    <w:rsid w:val="00741209"/>
    <w:rsid w:val="00741CCD"/>
    <w:rsid w:val="00756DF3"/>
    <w:rsid w:val="007614FA"/>
    <w:rsid w:val="00762C70"/>
    <w:rsid w:val="0076533B"/>
    <w:rsid w:val="007670CF"/>
    <w:rsid w:val="0077463B"/>
    <w:rsid w:val="0077468D"/>
    <w:rsid w:val="00776670"/>
    <w:rsid w:val="0078099D"/>
    <w:rsid w:val="007835DF"/>
    <w:rsid w:val="00787463"/>
    <w:rsid w:val="00791F5F"/>
    <w:rsid w:val="007A2AF5"/>
    <w:rsid w:val="007A7DA2"/>
    <w:rsid w:val="007B714E"/>
    <w:rsid w:val="007C00D4"/>
    <w:rsid w:val="007C267B"/>
    <w:rsid w:val="007C5D33"/>
    <w:rsid w:val="007D229A"/>
    <w:rsid w:val="00801533"/>
    <w:rsid w:val="00802406"/>
    <w:rsid w:val="00804C35"/>
    <w:rsid w:val="008123CA"/>
    <w:rsid w:val="008201AB"/>
    <w:rsid w:val="0082464D"/>
    <w:rsid w:val="008275D1"/>
    <w:rsid w:val="00830FF9"/>
    <w:rsid w:val="00833B42"/>
    <w:rsid w:val="00837D1E"/>
    <w:rsid w:val="00841E98"/>
    <w:rsid w:val="0084328C"/>
    <w:rsid w:val="008445BF"/>
    <w:rsid w:val="00850B5A"/>
    <w:rsid w:val="008614C6"/>
    <w:rsid w:val="00871936"/>
    <w:rsid w:val="00875F86"/>
    <w:rsid w:val="00882920"/>
    <w:rsid w:val="008937F2"/>
    <w:rsid w:val="0089606F"/>
    <w:rsid w:val="008A55F0"/>
    <w:rsid w:val="008A5CAA"/>
    <w:rsid w:val="008B6DFF"/>
    <w:rsid w:val="008D322F"/>
    <w:rsid w:val="008D332E"/>
    <w:rsid w:val="008D54FD"/>
    <w:rsid w:val="008E73BD"/>
    <w:rsid w:val="00907DFD"/>
    <w:rsid w:val="0091401F"/>
    <w:rsid w:val="00914477"/>
    <w:rsid w:val="00915B78"/>
    <w:rsid w:val="009204F3"/>
    <w:rsid w:val="009212B7"/>
    <w:rsid w:val="0092243D"/>
    <w:rsid w:val="0092270E"/>
    <w:rsid w:val="00924642"/>
    <w:rsid w:val="00931D04"/>
    <w:rsid w:val="00932884"/>
    <w:rsid w:val="00937671"/>
    <w:rsid w:val="009428C4"/>
    <w:rsid w:val="0095226C"/>
    <w:rsid w:val="00953E55"/>
    <w:rsid w:val="009607B8"/>
    <w:rsid w:val="00965E0C"/>
    <w:rsid w:val="00967C9B"/>
    <w:rsid w:val="0099189B"/>
    <w:rsid w:val="0099360A"/>
    <w:rsid w:val="00994F1A"/>
    <w:rsid w:val="009A56C6"/>
    <w:rsid w:val="009B51A4"/>
    <w:rsid w:val="009B59D0"/>
    <w:rsid w:val="009C230E"/>
    <w:rsid w:val="009E5827"/>
    <w:rsid w:val="009F24BA"/>
    <w:rsid w:val="009F6015"/>
    <w:rsid w:val="009F605A"/>
    <w:rsid w:val="00A0330B"/>
    <w:rsid w:val="00A056CB"/>
    <w:rsid w:val="00A063F4"/>
    <w:rsid w:val="00A07397"/>
    <w:rsid w:val="00A07E10"/>
    <w:rsid w:val="00A11259"/>
    <w:rsid w:val="00A17793"/>
    <w:rsid w:val="00A23F23"/>
    <w:rsid w:val="00A26766"/>
    <w:rsid w:val="00A36372"/>
    <w:rsid w:val="00A46F5C"/>
    <w:rsid w:val="00A52ED7"/>
    <w:rsid w:val="00A67750"/>
    <w:rsid w:val="00A67CE8"/>
    <w:rsid w:val="00A72A3A"/>
    <w:rsid w:val="00A8000D"/>
    <w:rsid w:val="00A80DB2"/>
    <w:rsid w:val="00A84D5B"/>
    <w:rsid w:val="00A965EB"/>
    <w:rsid w:val="00A96CAB"/>
    <w:rsid w:val="00AA092E"/>
    <w:rsid w:val="00AA3398"/>
    <w:rsid w:val="00AB055C"/>
    <w:rsid w:val="00AB072F"/>
    <w:rsid w:val="00AC36F8"/>
    <w:rsid w:val="00AD16AF"/>
    <w:rsid w:val="00AD4D6F"/>
    <w:rsid w:val="00AE030D"/>
    <w:rsid w:val="00AE2706"/>
    <w:rsid w:val="00AF708B"/>
    <w:rsid w:val="00B23C73"/>
    <w:rsid w:val="00B27FEF"/>
    <w:rsid w:val="00B303AD"/>
    <w:rsid w:val="00B30847"/>
    <w:rsid w:val="00B3289C"/>
    <w:rsid w:val="00B345B6"/>
    <w:rsid w:val="00B35163"/>
    <w:rsid w:val="00B44BE2"/>
    <w:rsid w:val="00B503C0"/>
    <w:rsid w:val="00B5292F"/>
    <w:rsid w:val="00B54CA3"/>
    <w:rsid w:val="00B63670"/>
    <w:rsid w:val="00B63C12"/>
    <w:rsid w:val="00B71B1E"/>
    <w:rsid w:val="00B74BDD"/>
    <w:rsid w:val="00B761F0"/>
    <w:rsid w:val="00B847BA"/>
    <w:rsid w:val="00BA7038"/>
    <w:rsid w:val="00BB63F9"/>
    <w:rsid w:val="00BC68B0"/>
    <w:rsid w:val="00BD2F49"/>
    <w:rsid w:val="00BD5425"/>
    <w:rsid w:val="00BD5DB1"/>
    <w:rsid w:val="00BE6CE7"/>
    <w:rsid w:val="00BF3DFC"/>
    <w:rsid w:val="00BF75E7"/>
    <w:rsid w:val="00C050AD"/>
    <w:rsid w:val="00C07A56"/>
    <w:rsid w:val="00C11EE6"/>
    <w:rsid w:val="00C13C4F"/>
    <w:rsid w:val="00C17138"/>
    <w:rsid w:val="00C17F81"/>
    <w:rsid w:val="00C2457F"/>
    <w:rsid w:val="00C2720A"/>
    <w:rsid w:val="00C2772A"/>
    <w:rsid w:val="00C3221F"/>
    <w:rsid w:val="00C36871"/>
    <w:rsid w:val="00C43854"/>
    <w:rsid w:val="00C570E3"/>
    <w:rsid w:val="00C604B1"/>
    <w:rsid w:val="00C62808"/>
    <w:rsid w:val="00C73436"/>
    <w:rsid w:val="00C8358C"/>
    <w:rsid w:val="00C86E2C"/>
    <w:rsid w:val="00C92DB8"/>
    <w:rsid w:val="00CA7139"/>
    <w:rsid w:val="00CB54D3"/>
    <w:rsid w:val="00CC3322"/>
    <w:rsid w:val="00CC38F8"/>
    <w:rsid w:val="00CD1CE6"/>
    <w:rsid w:val="00CE2526"/>
    <w:rsid w:val="00CE5DB8"/>
    <w:rsid w:val="00D1064F"/>
    <w:rsid w:val="00D20B6E"/>
    <w:rsid w:val="00D23BC5"/>
    <w:rsid w:val="00D2418D"/>
    <w:rsid w:val="00D25A18"/>
    <w:rsid w:val="00D3740E"/>
    <w:rsid w:val="00D61775"/>
    <w:rsid w:val="00D775E7"/>
    <w:rsid w:val="00D93873"/>
    <w:rsid w:val="00D96F07"/>
    <w:rsid w:val="00DA59B6"/>
    <w:rsid w:val="00DB3BA4"/>
    <w:rsid w:val="00DC46E0"/>
    <w:rsid w:val="00DD3961"/>
    <w:rsid w:val="00DD3E08"/>
    <w:rsid w:val="00DE0C7E"/>
    <w:rsid w:val="00DE6AD3"/>
    <w:rsid w:val="00DF7893"/>
    <w:rsid w:val="00E10CFA"/>
    <w:rsid w:val="00E162DD"/>
    <w:rsid w:val="00E2633C"/>
    <w:rsid w:val="00E303E3"/>
    <w:rsid w:val="00E32F4B"/>
    <w:rsid w:val="00E37322"/>
    <w:rsid w:val="00E37DAE"/>
    <w:rsid w:val="00E43CCE"/>
    <w:rsid w:val="00E4446C"/>
    <w:rsid w:val="00E450C4"/>
    <w:rsid w:val="00E61E33"/>
    <w:rsid w:val="00E70C2D"/>
    <w:rsid w:val="00E75A06"/>
    <w:rsid w:val="00E87CC2"/>
    <w:rsid w:val="00EB24DF"/>
    <w:rsid w:val="00EB4244"/>
    <w:rsid w:val="00EB6DF3"/>
    <w:rsid w:val="00EC421B"/>
    <w:rsid w:val="00EC6B08"/>
    <w:rsid w:val="00ED7734"/>
    <w:rsid w:val="00ED791B"/>
    <w:rsid w:val="00EE50C4"/>
    <w:rsid w:val="00EF7EF2"/>
    <w:rsid w:val="00F04195"/>
    <w:rsid w:val="00F1509C"/>
    <w:rsid w:val="00F25D78"/>
    <w:rsid w:val="00F4243F"/>
    <w:rsid w:val="00F57BD8"/>
    <w:rsid w:val="00F60B21"/>
    <w:rsid w:val="00F868F0"/>
    <w:rsid w:val="00FB078B"/>
    <w:rsid w:val="00FD785B"/>
    <w:rsid w:val="00FF4B6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1D82B7"/>
  <w15:docId w15:val="{6F8F2938-8E6E-4D05-B845-D8474090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link w:val="Heading1Char"/>
    <w:uiPriority w:val="9"/>
    <w:qFormat/>
    <w:rsid w:val="001410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871936"/>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1070"/>
    <w:rPr>
      <w:rFonts w:ascii="Times New Roman" w:eastAsia="Times New Roman" w:hAnsi="Times New Roman" w:cs="Times New Roman"/>
      <w:b/>
      <w:bCs/>
      <w:kern w:val="36"/>
      <w:sz w:val="48"/>
      <w:szCs w:val="48"/>
      <w:lang w:val="en-CA" w:eastAsia="en-CA"/>
    </w:rPr>
  </w:style>
  <w:style w:type="paragraph" w:styleId="NormalWeb">
    <w:name w:val="Normal (Web)"/>
    <w:basedOn w:val="Normal"/>
    <w:uiPriority w:val="99"/>
    <w:semiHidden/>
    <w:unhideWhenUsed/>
    <w:rsid w:val="0014107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141070"/>
    <w:rPr>
      <w:color w:val="0000FF"/>
      <w:u w:val="single"/>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uiPriority w:val="34"/>
    <w:qFormat/>
    <w:rsid w:val="005710C3"/>
    <w:pPr>
      <w:ind w:left="720"/>
      <w:contextualSpacing/>
    </w:pPr>
  </w:style>
  <w:style w:type="character" w:styleId="CommentReference">
    <w:name w:val="annotation reference"/>
    <w:basedOn w:val="DefaultParagraphFont"/>
    <w:uiPriority w:val="99"/>
    <w:semiHidden/>
    <w:unhideWhenUsed/>
    <w:rsid w:val="00A11259"/>
    <w:rPr>
      <w:sz w:val="16"/>
      <w:szCs w:val="16"/>
    </w:rPr>
  </w:style>
  <w:style w:type="paragraph" w:styleId="CommentText">
    <w:name w:val="annotation text"/>
    <w:basedOn w:val="Normal"/>
    <w:link w:val="CommentTextChar"/>
    <w:uiPriority w:val="99"/>
    <w:semiHidden/>
    <w:unhideWhenUsed/>
    <w:rsid w:val="00A11259"/>
    <w:pPr>
      <w:spacing w:line="240" w:lineRule="auto"/>
    </w:pPr>
    <w:rPr>
      <w:sz w:val="20"/>
      <w:szCs w:val="20"/>
    </w:rPr>
  </w:style>
  <w:style w:type="character" w:customStyle="1" w:styleId="CommentTextChar">
    <w:name w:val="Comment Text Char"/>
    <w:basedOn w:val="DefaultParagraphFont"/>
    <w:link w:val="CommentText"/>
    <w:uiPriority w:val="99"/>
    <w:semiHidden/>
    <w:rsid w:val="00A11259"/>
    <w:rPr>
      <w:sz w:val="20"/>
      <w:szCs w:val="20"/>
      <w:lang w:val="en-CA"/>
    </w:rPr>
  </w:style>
  <w:style w:type="paragraph" w:styleId="CommentSubject">
    <w:name w:val="annotation subject"/>
    <w:basedOn w:val="CommentText"/>
    <w:next w:val="CommentText"/>
    <w:link w:val="CommentSubjectChar"/>
    <w:uiPriority w:val="99"/>
    <w:semiHidden/>
    <w:unhideWhenUsed/>
    <w:rsid w:val="00A11259"/>
    <w:rPr>
      <w:b/>
      <w:bCs/>
    </w:rPr>
  </w:style>
  <w:style w:type="character" w:customStyle="1" w:styleId="CommentSubjectChar">
    <w:name w:val="Comment Subject Char"/>
    <w:basedOn w:val="CommentTextChar"/>
    <w:link w:val="CommentSubject"/>
    <w:uiPriority w:val="99"/>
    <w:semiHidden/>
    <w:rsid w:val="00A11259"/>
    <w:rPr>
      <w:b/>
      <w:bCs/>
      <w:sz w:val="20"/>
      <w:szCs w:val="20"/>
      <w:lang w:val="en-CA"/>
    </w:rPr>
  </w:style>
  <w:style w:type="paragraph" w:styleId="BalloonText">
    <w:name w:val="Balloon Text"/>
    <w:basedOn w:val="Normal"/>
    <w:link w:val="BalloonTextChar"/>
    <w:uiPriority w:val="99"/>
    <w:semiHidden/>
    <w:unhideWhenUsed/>
    <w:rsid w:val="00A112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1259"/>
    <w:rPr>
      <w:rFonts w:ascii="Segoe UI" w:hAnsi="Segoe UI" w:cs="Segoe UI"/>
      <w:sz w:val="18"/>
      <w:szCs w:val="18"/>
      <w:lang w:val="en-CA"/>
    </w:rPr>
  </w:style>
  <w:style w:type="paragraph" w:styleId="Header">
    <w:name w:val="header"/>
    <w:basedOn w:val="Normal"/>
    <w:link w:val="HeaderChar"/>
    <w:uiPriority w:val="99"/>
    <w:unhideWhenUsed/>
    <w:rsid w:val="00F4243F"/>
    <w:pPr>
      <w:tabs>
        <w:tab w:val="center" w:pos="4419"/>
        <w:tab w:val="right" w:pos="8838"/>
      </w:tabs>
      <w:spacing w:after="0" w:line="240" w:lineRule="auto"/>
    </w:pPr>
  </w:style>
  <w:style w:type="character" w:customStyle="1" w:styleId="HeaderChar">
    <w:name w:val="Header Char"/>
    <w:basedOn w:val="DefaultParagraphFont"/>
    <w:link w:val="Header"/>
    <w:uiPriority w:val="99"/>
    <w:rsid w:val="00F4243F"/>
    <w:rPr>
      <w:lang w:val="en-CA"/>
    </w:rPr>
  </w:style>
  <w:style w:type="paragraph" w:styleId="Footer">
    <w:name w:val="footer"/>
    <w:basedOn w:val="Normal"/>
    <w:link w:val="FooterChar"/>
    <w:uiPriority w:val="99"/>
    <w:unhideWhenUsed/>
    <w:rsid w:val="00F4243F"/>
    <w:pPr>
      <w:tabs>
        <w:tab w:val="center" w:pos="4419"/>
        <w:tab w:val="right" w:pos="8838"/>
      </w:tabs>
      <w:spacing w:after="0" w:line="240" w:lineRule="auto"/>
    </w:pPr>
  </w:style>
  <w:style w:type="character" w:customStyle="1" w:styleId="FooterChar">
    <w:name w:val="Footer Char"/>
    <w:basedOn w:val="DefaultParagraphFont"/>
    <w:link w:val="Footer"/>
    <w:uiPriority w:val="99"/>
    <w:rsid w:val="00F4243F"/>
    <w:rPr>
      <w:lang w:val="en-CA"/>
    </w:rPr>
  </w:style>
  <w:style w:type="paragraph" w:styleId="FootnoteText">
    <w:name w:val="footnote text"/>
    <w:basedOn w:val="Normal"/>
    <w:link w:val="FootnoteTextChar"/>
    <w:uiPriority w:val="99"/>
    <w:semiHidden/>
    <w:unhideWhenUsed/>
    <w:rsid w:val="00F424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243F"/>
    <w:rPr>
      <w:sz w:val="20"/>
      <w:szCs w:val="20"/>
      <w:lang w:val="en-CA"/>
    </w:rPr>
  </w:style>
  <w:style w:type="character" w:styleId="FootnoteReference">
    <w:name w:val="footnote reference"/>
    <w:basedOn w:val="DefaultParagraphFont"/>
    <w:uiPriority w:val="99"/>
    <w:semiHidden/>
    <w:unhideWhenUsed/>
    <w:rsid w:val="00F4243F"/>
    <w:rPr>
      <w:vertAlign w:val="superscript"/>
    </w:rPr>
  </w:style>
  <w:style w:type="paragraph" w:styleId="TOCHeading">
    <w:name w:val="TOC Heading"/>
    <w:basedOn w:val="Heading1"/>
    <w:next w:val="Normal"/>
    <w:uiPriority w:val="39"/>
    <w:unhideWhenUsed/>
    <w:qFormat/>
    <w:rsid w:val="003C6F27"/>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lang w:val="es-EC" w:eastAsia="es-ES"/>
    </w:rPr>
  </w:style>
  <w:style w:type="paragraph" w:styleId="TOC1">
    <w:name w:val="toc 1"/>
    <w:basedOn w:val="Normal"/>
    <w:next w:val="Normal"/>
    <w:autoRedefine/>
    <w:uiPriority w:val="39"/>
    <w:unhideWhenUsed/>
    <w:rsid w:val="003C6F27"/>
    <w:pPr>
      <w:spacing w:before="120" w:after="0"/>
    </w:pPr>
    <w:rPr>
      <w:b/>
      <w:sz w:val="24"/>
      <w:szCs w:val="24"/>
    </w:rPr>
  </w:style>
  <w:style w:type="paragraph" w:styleId="TOC2">
    <w:name w:val="toc 2"/>
    <w:basedOn w:val="Normal"/>
    <w:next w:val="Normal"/>
    <w:autoRedefine/>
    <w:uiPriority w:val="39"/>
    <w:unhideWhenUsed/>
    <w:rsid w:val="003C6F27"/>
    <w:pPr>
      <w:spacing w:after="0"/>
      <w:ind w:left="220"/>
    </w:pPr>
    <w:rPr>
      <w:b/>
    </w:rPr>
  </w:style>
  <w:style w:type="paragraph" w:styleId="TOC3">
    <w:name w:val="toc 3"/>
    <w:basedOn w:val="Normal"/>
    <w:next w:val="Normal"/>
    <w:autoRedefine/>
    <w:uiPriority w:val="39"/>
    <w:unhideWhenUsed/>
    <w:rsid w:val="003C6F27"/>
    <w:pPr>
      <w:spacing w:after="0"/>
      <w:ind w:left="440"/>
    </w:pPr>
  </w:style>
  <w:style w:type="paragraph" w:styleId="TOC4">
    <w:name w:val="toc 4"/>
    <w:basedOn w:val="Normal"/>
    <w:next w:val="Normal"/>
    <w:autoRedefine/>
    <w:uiPriority w:val="39"/>
    <w:unhideWhenUsed/>
    <w:rsid w:val="003C6F27"/>
    <w:pPr>
      <w:spacing w:after="0"/>
      <w:ind w:left="660"/>
    </w:pPr>
    <w:rPr>
      <w:sz w:val="20"/>
      <w:szCs w:val="20"/>
    </w:rPr>
  </w:style>
  <w:style w:type="paragraph" w:styleId="TOC5">
    <w:name w:val="toc 5"/>
    <w:basedOn w:val="Normal"/>
    <w:next w:val="Normal"/>
    <w:autoRedefine/>
    <w:uiPriority w:val="39"/>
    <w:unhideWhenUsed/>
    <w:rsid w:val="003C6F27"/>
    <w:pPr>
      <w:spacing w:after="0"/>
      <w:ind w:left="880"/>
    </w:pPr>
    <w:rPr>
      <w:sz w:val="20"/>
      <w:szCs w:val="20"/>
    </w:rPr>
  </w:style>
  <w:style w:type="paragraph" w:styleId="TOC6">
    <w:name w:val="toc 6"/>
    <w:basedOn w:val="Normal"/>
    <w:next w:val="Normal"/>
    <w:autoRedefine/>
    <w:uiPriority w:val="39"/>
    <w:unhideWhenUsed/>
    <w:rsid w:val="003C6F27"/>
    <w:pPr>
      <w:spacing w:after="0"/>
      <w:ind w:left="1100"/>
    </w:pPr>
    <w:rPr>
      <w:sz w:val="20"/>
      <w:szCs w:val="20"/>
    </w:rPr>
  </w:style>
  <w:style w:type="paragraph" w:styleId="TOC7">
    <w:name w:val="toc 7"/>
    <w:basedOn w:val="Normal"/>
    <w:next w:val="Normal"/>
    <w:autoRedefine/>
    <w:uiPriority w:val="39"/>
    <w:unhideWhenUsed/>
    <w:rsid w:val="003C6F27"/>
    <w:pPr>
      <w:spacing w:after="0"/>
      <w:ind w:left="1320"/>
    </w:pPr>
    <w:rPr>
      <w:sz w:val="20"/>
      <w:szCs w:val="20"/>
    </w:rPr>
  </w:style>
  <w:style w:type="paragraph" w:styleId="TOC8">
    <w:name w:val="toc 8"/>
    <w:basedOn w:val="Normal"/>
    <w:next w:val="Normal"/>
    <w:autoRedefine/>
    <w:uiPriority w:val="39"/>
    <w:unhideWhenUsed/>
    <w:rsid w:val="003C6F27"/>
    <w:pPr>
      <w:spacing w:after="0"/>
      <w:ind w:left="1540"/>
    </w:pPr>
    <w:rPr>
      <w:sz w:val="20"/>
      <w:szCs w:val="20"/>
    </w:rPr>
  </w:style>
  <w:style w:type="paragraph" w:styleId="TOC9">
    <w:name w:val="toc 9"/>
    <w:basedOn w:val="Normal"/>
    <w:next w:val="Normal"/>
    <w:autoRedefine/>
    <w:uiPriority w:val="39"/>
    <w:unhideWhenUsed/>
    <w:rsid w:val="003C6F27"/>
    <w:pPr>
      <w:spacing w:after="0"/>
      <w:ind w:left="1760"/>
    </w:pPr>
    <w:rPr>
      <w:sz w:val="20"/>
      <w:szCs w:val="20"/>
    </w:rPr>
  </w:style>
  <w:style w:type="character" w:customStyle="1" w:styleId="Heading2Char">
    <w:name w:val="Heading 2 Char"/>
    <w:basedOn w:val="DefaultParagraphFont"/>
    <w:link w:val="Heading2"/>
    <w:uiPriority w:val="9"/>
    <w:rsid w:val="00871936"/>
    <w:rPr>
      <w:rFonts w:ascii="Times New Roman" w:eastAsia="Times New Roman" w:hAnsi="Times New Roman" w:cs="Times New Roman"/>
      <w:b/>
      <w:bCs/>
      <w:sz w:val="36"/>
      <w:szCs w:val="36"/>
      <w:lang w:val="en-CA" w:eastAsia="en-CA"/>
    </w:rPr>
  </w:style>
  <w:style w:type="table" w:styleId="TableGrid">
    <w:name w:val="Table Grid"/>
    <w:basedOn w:val="TableNormal"/>
    <w:uiPriority w:val="39"/>
    <w:rsid w:val="00426EC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41FDF"/>
    <w:pPr>
      <w:spacing w:after="0" w:line="240" w:lineRule="auto"/>
    </w:pPr>
    <w:rPr>
      <w:lang w:val="en-GB"/>
    </w:rPr>
  </w:style>
  <w:style w:type="paragraph" w:styleId="HTMLPreformatted">
    <w:name w:val="HTML Preformatted"/>
    <w:basedOn w:val="Normal"/>
    <w:link w:val="HTMLPreformattedChar"/>
    <w:uiPriority w:val="99"/>
    <w:unhideWhenUsed/>
    <w:rsid w:val="008E7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hAnsi="Courier" w:cs="Courier"/>
      <w:sz w:val="20"/>
      <w:szCs w:val="20"/>
      <w:lang w:val="es-EC" w:eastAsia="es-ES"/>
    </w:rPr>
  </w:style>
  <w:style w:type="character" w:customStyle="1" w:styleId="HTMLPreformattedChar">
    <w:name w:val="HTML Preformatted Char"/>
    <w:basedOn w:val="DefaultParagraphFont"/>
    <w:link w:val="HTMLPreformatted"/>
    <w:uiPriority w:val="99"/>
    <w:rsid w:val="008E73BD"/>
    <w:rPr>
      <w:rFonts w:ascii="Courier" w:hAnsi="Courier" w:cs="Courier"/>
      <w:sz w:val="20"/>
      <w:szCs w:val="20"/>
      <w:lang w:val="es-EC" w:eastAsia="es-ES"/>
    </w:rPr>
  </w:style>
  <w:style w:type="paragraph" w:styleId="NoSpacing">
    <w:name w:val="No Spacing"/>
    <w:uiPriority w:val="1"/>
    <w:qFormat/>
    <w:rsid w:val="00741209"/>
    <w:pPr>
      <w:spacing w:after="0" w:line="240" w:lineRule="auto"/>
    </w:pPr>
    <w:rPr>
      <w:rFonts w:eastAsiaTheme="minorEastAsia"/>
      <w:sz w:val="24"/>
      <w:szCs w:val="24"/>
      <w:lang w:val="es-ES_tradnl" w:eastAsia="es-E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440897"/>
    <w:rPr>
      <w:lang w:val="en-GB"/>
    </w:rPr>
  </w:style>
  <w:style w:type="character" w:styleId="UnresolvedMention">
    <w:name w:val="Unresolved Mention"/>
    <w:basedOn w:val="DefaultParagraphFont"/>
    <w:uiPriority w:val="99"/>
    <w:semiHidden/>
    <w:unhideWhenUsed/>
    <w:rsid w:val="00967C9B"/>
    <w:rPr>
      <w:color w:val="605E5C"/>
      <w:shd w:val="clear" w:color="auto" w:fill="E1DFDD"/>
    </w:rPr>
  </w:style>
  <w:style w:type="character" w:styleId="FollowedHyperlink">
    <w:name w:val="FollowedHyperlink"/>
    <w:basedOn w:val="DefaultParagraphFont"/>
    <w:uiPriority w:val="99"/>
    <w:semiHidden/>
    <w:unhideWhenUsed/>
    <w:rsid w:val="00DD3961"/>
    <w:rPr>
      <w:color w:val="954F72" w:themeColor="followedHyperlink"/>
      <w:u w:val="single"/>
    </w:rPr>
  </w:style>
  <w:style w:type="paragraph" w:customStyle="1" w:styleId="msonormal0">
    <w:name w:val="msonormal"/>
    <w:basedOn w:val="Normal"/>
    <w:uiPriority w:val="99"/>
    <w:semiHidden/>
    <w:rsid w:val="00DD3961"/>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99924">
      <w:bodyDiv w:val="1"/>
      <w:marLeft w:val="0"/>
      <w:marRight w:val="0"/>
      <w:marTop w:val="0"/>
      <w:marBottom w:val="0"/>
      <w:divBdr>
        <w:top w:val="none" w:sz="0" w:space="0" w:color="auto"/>
        <w:left w:val="none" w:sz="0" w:space="0" w:color="auto"/>
        <w:bottom w:val="none" w:sz="0" w:space="0" w:color="auto"/>
        <w:right w:val="none" w:sz="0" w:space="0" w:color="auto"/>
      </w:divBdr>
      <w:divsChild>
        <w:div w:id="1418820092">
          <w:marLeft w:val="-108"/>
          <w:marRight w:val="0"/>
          <w:marTop w:val="0"/>
          <w:marBottom w:val="0"/>
          <w:divBdr>
            <w:top w:val="none" w:sz="0" w:space="0" w:color="auto"/>
            <w:left w:val="none" w:sz="0" w:space="0" w:color="auto"/>
            <w:bottom w:val="none" w:sz="0" w:space="0" w:color="auto"/>
            <w:right w:val="none" w:sz="0" w:space="0" w:color="auto"/>
          </w:divBdr>
        </w:div>
        <w:div w:id="503324037">
          <w:marLeft w:val="-15"/>
          <w:marRight w:val="0"/>
          <w:marTop w:val="0"/>
          <w:marBottom w:val="0"/>
          <w:divBdr>
            <w:top w:val="none" w:sz="0" w:space="0" w:color="auto"/>
            <w:left w:val="none" w:sz="0" w:space="0" w:color="auto"/>
            <w:bottom w:val="none" w:sz="0" w:space="0" w:color="auto"/>
            <w:right w:val="none" w:sz="0" w:space="0" w:color="auto"/>
          </w:divBdr>
        </w:div>
      </w:divsChild>
    </w:div>
    <w:div w:id="155192240">
      <w:bodyDiv w:val="1"/>
      <w:marLeft w:val="0"/>
      <w:marRight w:val="0"/>
      <w:marTop w:val="0"/>
      <w:marBottom w:val="0"/>
      <w:divBdr>
        <w:top w:val="none" w:sz="0" w:space="0" w:color="auto"/>
        <w:left w:val="none" w:sz="0" w:space="0" w:color="auto"/>
        <w:bottom w:val="none" w:sz="0" w:space="0" w:color="auto"/>
        <w:right w:val="none" w:sz="0" w:space="0" w:color="auto"/>
      </w:divBdr>
      <w:divsChild>
        <w:div w:id="288247343">
          <w:marLeft w:val="142"/>
          <w:marRight w:val="0"/>
          <w:marTop w:val="0"/>
          <w:marBottom w:val="0"/>
          <w:divBdr>
            <w:top w:val="none" w:sz="0" w:space="0" w:color="auto"/>
            <w:left w:val="none" w:sz="0" w:space="0" w:color="auto"/>
            <w:bottom w:val="none" w:sz="0" w:space="0" w:color="auto"/>
            <w:right w:val="none" w:sz="0" w:space="0" w:color="auto"/>
          </w:divBdr>
        </w:div>
      </w:divsChild>
    </w:div>
    <w:div w:id="220604701">
      <w:bodyDiv w:val="1"/>
      <w:marLeft w:val="0"/>
      <w:marRight w:val="0"/>
      <w:marTop w:val="0"/>
      <w:marBottom w:val="0"/>
      <w:divBdr>
        <w:top w:val="none" w:sz="0" w:space="0" w:color="auto"/>
        <w:left w:val="none" w:sz="0" w:space="0" w:color="auto"/>
        <w:bottom w:val="none" w:sz="0" w:space="0" w:color="auto"/>
        <w:right w:val="none" w:sz="0" w:space="0" w:color="auto"/>
      </w:divBdr>
    </w:div>
    <w:div w:id="380398035">
      <w:bodyDiv w:val="1"/>
      <w:marLeft w:val="0"/>
      <w:marRight w:val="0"/>
      <w:marTop w:val="0"/>
      <w:marBottom w:val="0"/>
      <w:divBdr>
        <w:top w:val="none" w:sz="0" w:space="0" w:color="auto"/>
        <w:left w:val="none" w:sz="0" w:space="0" w:color="auto"/>
        <w:bottom w:val="none" w:sz="0" w:space="0" w:color="auto"/>
        <w:right w:val="none" w:sz="0" w:space="0" w:color="auto"/>
      </w:divBdr>
    </w:div>
    <w:div w:id="835193396">
      <w:bodyDiv w:val="1"/>
      <w:marLeft w:val="0"/>
      <w:marRight w:val="0"/>
      <w:marTop w:val="0"/>
      <w:marBottom w:val="0"/>
      <w:divBdr>
        <w:top w:val="none" w:sz="0" w:space="0" w:color="auto"/>
        <w:left w:val="none" w:sz="0" w:space="0" w:color="auto"/>
        <w:bottom w:val="none" w:sz="0" w:space="0" w:color="auto"/>
        <w:right w:val="none" w:sz="0" w:space="0" w:color="auto"/>
      </w:divBdr>
    </w:div>
    <w:div w:id="1433434278">
      <w:bodyDiv w:val="1"/>
      <w:marLeft w:val="0"/>
      <w:marRight w:val="0"/>
      <w:marTop w:val="0"/>
      <w:marBottom w:val="0"/>
      <w:divBdr>
        <w:top w:val="none" w:sz="0" w:space="0" w:color="auto"/>
        <w:left w:val="none" w:sz="0" w:space="0" w:color="auto"/>
        <w:bottom w:val="none" w:sz="0" w:space="0" w:color="auto"/>
        <w:right w:val="none" w:sz="0" w:space="0" w:color="auto"/>
      </w:divBdr>
    </w:div>
    <w:div w:id="1809977293">
      <w:bodyDiv w:val="1"/>
      <w:marLeft w:val="0"/>
      <w:marRight w:val="0"/>
      <w:marTop w:val="0"/>
      <w:marBottom w:val="0"/>
      <w:divBdr>
        <w:top w:val="none" w:sz="0" w:space="0" w:color="auto"/>
        <w:left w:val="none" w:sz="0" w:space="0" w:color="auto"/>
        <w:bottom w:val="none" w:sz="0" w:space="0" w:color="auto"/>
        <w:right w:val="none" w:sz="0" w:space="0" w:color="auto"/>
      </w:divBdr>
    </w:div>
    <w:div w:id="213949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sites/default/files/council-meeting-documents/EN_GEF.C.53.04_Gender_Policy.pdf" TargetMode="External"/><Relationship Id="rId18" Type="http://schemas.openxmlformats.org/officeDocument/2006/relationships/hyperlink" Target="http://www.cl.undp.org/content/chile/es/home/library/womens_empowerment/estrategia-de-igualdad-de-genero-del-pnud-2014-2017.html" TargetMode="External"/><Relationship Id="rId26" Type="http://schemas.openxmlformats.org/officeDocument/2006/relationships/diagramColors" Target="diagrams/colors1.xml"/><Relationship Id="rId39" Type="http://schemas.openxmlformats.org/officeDocument/2006/relationships/customXml" Target="../customXml/item2.xml"/><Relationship Id="rId21" Type="http://schemas.openxmlformats.org/officeDocument/2006/relationships/hyperlink" Target="https://info.undp.org/sites/bpps/SES_Toolkit/SES%20Document%20Library/Uploaded%20October%202016/UNDP%20Guidance%20Note%20how%20to%20conduct%20a%20gender%20analysis.pdf" TargetMode="External"/><Relationship Id="rId34" Type="http://schemas.openxmlformats.org/officeDocument/2006/relationships/hyperlink" Target="https://info.undp.org/sites/bpps/SES_Toolkit/SES%20Document%20Library/Uploaded%20October%202016/Final%20UNDP%20SES%20Indigenous%20Peoples%20GN_Jan2017.pd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anda.inec.gob.ec/anda/index.php/catalog/94" TargetMode="External"/><Relationship Id="rId20" Type="http://schemas.openxmlformats.org/officeDocument/2006/relationships/hyperlink" Target="http://www.undp.org/content/dam/somalia/docs/Project_Documents/Womens_Empowerment/Gender%20Mainstreaming%20Made%20Easy_Handbook%20for%20Programme%20Staff1.pdf" TargetMode="External"/><Relationship Id="rId29" Type="http://schemas.openxmlformats.org/officeDocument/2006/relationships/hyperlink" Target="https://www.thegef.org/council-meeting-documents/guidance-advance-gender-equality-gef-projects-and-programs" TargetMode="External"/><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sites/default/files/council-meeting-documents/EN_GEF.C.54.11.Rev_.02_Results.pdf" TargetMode="External"/><Relationship Id="rId24" Type="http://schemas.openxmlformats.org/officeDocument/2006/relationships/diagramLayout" Target="diagrams/layout1.xml"/><Relationship Id="rId32" Type="http://schemas.openxmlformats.org/officeDocument/2006/relationships/hyperlink" Target="https://trainingcentre.unwomen.org/mod/glossary/view.php?id=150&amp;mode=letter&amp;hook=M&amp;sortkey=&amp;sortorder=asc" TargetMode="External"/><Relationship Id="rId37" Type="http://schemas.openxmlformats.org/officeDocument/2006/relationships/fontTable" Target="fontTable.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aecid.es" TargetMode="External"/><Relationship Id="rId23" Type="http://schemas.openxmlformats.org/officeDocument/2006/relationships/diagramData" Target="diagrams/data1.xml"/><Relationship Id="rId28" Type="http://schemas.openxmlformats.org/officeDocument/2006/relationships/hyperlink" Target="http://www.derecho-ambiental.org/Derecho/Legislacion/Constitucion_Asamblea_Ecuador_5.html" TargetMode="External"/><Relationship Id="rId36" Type="http://schemas.openxmlformats.org/officeDocument/2006/relationships/footer" Target="footer1.xml"/><Relationship Id="rId10" Type="http://schemas.openxmlformats.org/officeDocument/2006/relationships/hyperlink" Target="https://dhsprogram.com/pubs/pdf/fr246/fr246.pdf" TargetMode="External"/><Relationship Id="rId19" Type="http://schemas.openxmlformats.org/officeDocument/2006/relationships/hyperlink" Target="http://undocs.org/es/DP/2017/38" TargetMode="External"/><Relationship Id="rId31" Type="http://schemas.openxmlformats.org/officeDocument/2006/relationships/hyperlink" Target="http://undocs.org/es/DP/2017/38" TargetMode="External"/><Relationship Id="rId4" Type="http://schemas.openxmlformats.org/officeDocument/2006/relationships/settings" Target="settings.xml"/><Relationship Id="rId9" Type="http://schemas.openxmlformats.org/officeDocument/2006/relationships/hyperlink" Target="https://www.dane.gov.co/index.php/estadisticas-por-tema/pobreza-y-condiciones-de-vida/encuesta-nacional-del-uso-del-tiempo-enut" TargetMode="External"/><Relationship Id="rId14" Type="http://schemas.openxmlformats.org/officeDocument/2006/relationships/hyperlink" Target="https://www.thegef.org/sites/default/files/council-meeting-documents/2015001319SPAspa005_Gender_Equality_0_1.pdf" TargetMode="External"/><Relationship Id="rId22" Type="http://schemas.openxmlformats.org/officeDocument/2006/relationships/hyperlink" Target="https://trainingcentre.unwomen.org/mod/glossary/view.php?id=150&amp;mode=letter&amp;hook=M&amp;sortkey=&amp;sortorder=asc" TargetMode="External"/><Relationship Id="rId27" Type="http://schemas.microsoft.com/office/2007/relationships/diagramDrawing" Target="diagrams/drawing1.xml"/><Relationship Id="rId30" Type="http://schemas.openxmlformats.org/officeDocument/2006/relationships/hyperlink" Target="http://www.cl.undp.org/content/chile/es/home/library/womens_empowerment/estrategia-de-igualdad-de-genero-del-pnud-2014-2017.html" TargetMode="External"/><Relationship Id="rId35" Type="http://schemas.openxmlformats.org/officeDocument/2006/relationships/hyperlink" Target="http://www.undp.org/content/dam/undp/library/corporate/Social-and-Environmental-Policies-and-Procedures/SRM%20Guidance%20Note%20r4.pdf"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thegef.org/council-meeting-documents/guidance-advance-gender-equality-gef-projects-and-programs" TargetMode="External"/><Relationship Id="rId17" Type="http://schemas.openxmlformats.org/officeDocument/2006/relationships/hyperlink" Target="http://www.ecuadorencifras.gob.ec/uso-del-tiempo-2/" TargetMode="External"/><Relationship Id="rId25" Type="http://schemas.openxmlformats.org/officeDocument/2006/relationships/diagramQuickStyle" Target="diagrams/quickStyle1.xml"/><Relationship Id="rId33" Type="http://schemas.openxmlformats.org/officeDocument/2006/relationships/hyperlink" Target="https://info.undp.org/sites/bpps/SES_Toolkit/SES%20Document%20Library/Uploaded%20October%202016/UNDP%20Guidance%20Note%20how%20to%20conduct%20a%20gender%20analysis.pdf" TargetMode="External"/><Relationship Id="rId38"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A99884C-BDB7-F040-8870-3EF33B3ADFDA}" type="doc">
      <dgm:prSet loTypeId="urn:microsoft.com/office/officeart/2005/8/layout/hierarchy3" loCatId="" qsTypeId="urn:microsoft.com/office/officeart/2005/8/quickstyle/simple1" qsCatId="simple" csTypeId="urn:microsoft.com/office/officeart/2005/8/colors/accent1_2" csCatId="accent1" phldr="1"/>
      <dgm:spPr/>
      <dgm:t>
        <a:bodyPr/>
        <a:lstStyle/>
        <a:p>
          <a:endParaRPr lang="es-ES"/>
        </a:p>
      </dgm:t>
    </dgm:pt>
    <dgm:pt modelId="{73DC87BC-731B-0F4B-840E-0E85AB916A42}">
      <dgm:prSet phldrT="[Texto]" custT="1"/>
      <dgm:spPr/>
      <dgm:t>
        <a:bodyPr/>
        <a:lstStyle/>
        <a:p>
          <a:r>
            <a:rPr lang="en-CA" sz="900" b="1">
              <a:solidFill>
                <a:srgbClr val="000000"/>
              </a:solidFill>
              <a:latin typeface="+mj-lt"/>
            </a:rPr>
            <a:t>Community workers</a:t>
          </a:r>
          <a:endParaRPr lang="es-ES" sz="900" b="1">
            <a:solidFill>
              <a:sysClr val="windowText" lastClr="000000"/>
            </a:solidFill>
            <a:latin typeface="+mj-lt"/>
          </a:endParaRPr>
        </a:p>
      </dgm:t>
    </dgm:pt>
    <dgm:pt modelId="{09ABB906-E442-1F43-90AF-9D75836E6B94}" type="parTrans" cxnId="{5DD4EC91-DAAA-5047-82AE-89DA1BF51941}">
      <dgm:prSet/>
      <dgm:spPr/>
      <dgm:t>
        <a:bodyPr/>
        <a:lstStyle/>
        <a:p>
          <a:endParaRPr lang="es-ES"/>
        </a:p>
      </dgm:t>
    </dgm:pt>
    <dgm:pt modelId="{058E70BB-6AF2-B04C-AB42-4073360C17E9}" type="sibTrans" cxnId="{5DD4EC91-DAAA-5047-82AE-89DA1BF51941}">
      <dgm:prSet/>
      <dgm:spPr/>
      <dgm:t>
        <a:bodyPr/>
        <a:lstStyle/>
        <a:p>
          <a:endParaRPr lang="es-ES"/>
        </a:p>
      </dgm:t>
    </dgm:pt>
    <dgm:pt modelId="{D44840FB-E555-094B-AC9D-391EFE2B3271}">
      <dgm:prSet phldrT="[Texto]" custT="1"/>
      <dgm:spPr/>
      <dgm:t>
        <a:bodyPr/>
        <a:lstStyle/>
        <a:p>
          <a:r>
            <a:rPr lang="en-CA" sz="900">
              <a:latin typeface="+mj-lt"/>
            </a:rPr>
            <a:t>Receive and register the claim</a:t>
          </a:r>
          <a:endParaRPr lang="es-ES" sz="900">
            <a:latin typeface="+mj-lt"/>
          </a:endParaRPr>
        </a:p>
      </dgm:t>
    </dgm:pt>
    <dgm:pt modelId="{B92A730B-E5CC-3048-A1DC-9D0BD342CC4B}" type="parTrans" cxnId="{195B68A2-BDB0-6945-8153-D13487F97A4F}">
      <dgm:prSet/>
      <dgm:spPr/>
      <dgm:t>
        <a:bodyPr/>
        <a:lstStyle/>
        <a:p>
          <a:endParaRPr lang="es-ES" sz="900">
            <a:latin typeface="+mj-lt"/>
          </a:endParaRPr>
        </a:p>
      </dgm:t>
    </dgm:pt>
    <dgm:pt modelId="{4C671827-2999-4F4A-9E6D-4A9571AD193E}" type="sibTrans" cxnId="{195B68A2-BDB0-6945-8153-D13487F97A4F}">
      <dgm:prSet/>
      <dgm:spPr/>
      <dgm:t>
        <a:bodyPr/>
        <a:lstStyle/>
        <a:p>
          <a:endParaRPr lang="es-ES"/>
        </a:p>
      </dgm:t>
    </dgm:pt>
    <dgm:pt modelId="{FAD78B72-BE47-B047-87BA-FFDB44765275}">
      <dgm:prSet phldrT="[Texto]" custT="1"/>
      <dgm:spPr/>
      <dgm:t>
        <a:bodyPr/>
        <a:lstStyle/>
        <a:p>
          <a:r>
            <a:rPr lang="en-CA" sz="900">
              <a:latin typeface="+mj-lt"/>
            </a:rPr>
            <a:t>Delivery to person of Gender and Participation (EGP)</a:t>
          </a:r>
          <a:endParaRPr lang="es-ES" sz="900">
            <a:latin typeface="+mj-lt"/>
          </a:endParaRPr>
        </a:p>
      </dgm:t>
    </dgm:pt>
    <dgm:pt modelId="{93A22588-5175-9949-BFE0-9BD981EF674F}" type="parTrans" cxnId="{68F2B6FC-2E44-1743-A3E0-264C0D2B5098}">
      <dgm:prSet/>
      <dgm:spPr/>
      <dgm:t>
        <a:bodyPr/>
        <a:lstStyle/>
        <a:p>
          <a:endParaRPr lang="es-ES" sz="900">
            <a:latin typeface="+mj-lt"/>
          </a:endParaRPr>
        </a:p>
      </dgm:t>
    </dgm:pt>
    <dgm:pt modelId="{7E78769A-D9D4-704C-AD0A-BEEDF9074585}" type="sibTrans" cxnId="{68F2B6FC-2E44-1743-A3E0-264C0D2B5098}">
      <dgm:prSet/>
      <dgm:spPr/>
      <dgm:t>
        <a:bodyPr/>
        <a:lstStyle/>
        <a:p>
          <a:endParaRPr lang="es-ES"/>
        </a:p>
      </dgm:t>
    </dgm:pt>
    <dgm:pt modelId="{DD2270D8-8BBA-CD4B-A3D1-9C9E940A6593}">
      <dgm:prSet phldrT="[Texto]" custT="1"/>
      <dgm:spPr/>
      <dgm:t>
        <a:bodyPr/>
        <a:lstStyle/>
        <a:p>
          <a:r>
            <a:rPr lang="es-ES" sz="900" b="1">
              <a:solidFill>
                <a:srgbClr val="000000"/>
              </a:solidFill>
              <a:latin typeface="+mj-lt"/>
            </a:rPr>
            <a:t>EGP (project team)</a:t>
          </a:r>
        </a:p>
      </dgm:t>
    </dgm:pt>
    <dgm:pt modelId="{CFA80505-39C6-F847-AF92-938F71A4299A}" type="parTrans" cxnId="{5B0932E3-9730-A74B-B4CD-F7DCE668D1D9}">
      <dgm:prSet/>
      <dgm:spPr/>
      <dgm:t>
        <a:bodyPr/>
        <a:lstStyle/>
        <a:p>
          <a:endParaRPr lang="es-ES"/>
        </a:p>
      </dgm:t>
    </dgm:pt>
    <dgm:pt modelId="{D9B80B83-5166-964C-8C12-A2931D03D3B0}" type="sibTrans" cxnId="{5B0932E3-9730-A74B-B4CD-F7DCE668D1D9}">
      <dgm:prSet/>
      <dgm:spPr/>
      <dgm:t>
        <a:bodyPr/>
        <a:lstStyle/>
        <a:p>
          <a:endParaRPr lang="es-ES"/>
        </a:p>
      </dgm:t>
    </dgm:pt>
    <dgm:pt modelId="{77229A55-AB63-2244-A246-21E5CB7D02D4}">
      <dgm:prSet phldrT="[Texto]" custT="1"/>
      <dgm:spPr/>
      <dgm:t>
        <a:bodyPr/>
        <a:lstStyle/>
        <a:p>
          <a:r>
            <a:rPr lang="en-CA" sz="900">
              <a:latin typeface="+mj-lt"/>
            </a:rPr>
            <a:t>Register, evaluate, and if possible, solve.</a:t>
          </a:r>
          <a:endParaRPr lang="es-ES" sz="900">
            <a:latin typeface="+mj-lt"/>
          </a:endParaRPr>
        </a:p>
      </dgm:t>
    </dgm:pt>
    <dgm:pt modelId="{7E1B9248-3037-5941-9228-BF478F6042D5}" type="parTrans" cxnId="{ABB540C4-9C87-6245-B3F6-BFEB8EBAD1A9}">
      <dgm:prSet/>
      <dgm:spPr/>
      <dgm:t>
        <a:bodyPr/>
        <a:lstStyle/>
        <a:p>
          <a:endParaRPr lang="es-ES" sz="900">
            <a:latin typeface="+mj-lt"/>
          </a:endParaRPr>
        </a:p>
      </dgm:t>
    </dgm:pt>
    <dgm:pt modelId="{BD737CEF-407A-8F4B-9CC8-E1D4502C8767}" type="sibTrans" cxnId="{ABB540C4-9C87-6245-B3F6-BFEB8EBAD1A9}">
      <dgm:prSet/>
      <dgm:spPr/>
      <dgm:t>
        <a:bodyPr/>
        <a:lstStyle/>
        <a:p>
          <a:endParaRPr lang="es-ES"/>
        </a:p>
      </dgm:t>
    </dgm:pt>
    <dgm:pt modelId="{0D1235A8-6955-A34B-A51B-0CB8808FA496}">
      <dgm:prSet phldrT="[Texto]" custT="1"/>
      <dgm:spPr/>
      <dgm:t>
        <a:bodyPr/>
        <a:lstStyle/>
        <a:p>
          <a:r>
            <a:rPr lang="en-CA" sz="900">
              <a:latin typeface="+mj-lt"/>
            </a:rPr>
            <a:t>If not resolved, claim is transferred to binational Coordinator</a:t>
          </a:r>
          <a:endParaRPr lang="es-ES" sz="900">
            <a:latin typeface="+mj-lt"/>
          </a:endParaRPr>
        </a:p>
      </dgm:t>
    </dgm:pt>
    <dgm:pt modelId="{0E3E7BF8-F332-8F46-8D87-ED1D276065AD}" type="parTrans" cxnId="{10C716BA-9CE1-8540-9B19-CBE5D50A999F}">
      <dgm:prSet/>
      <dgm:spPr/>
      <dgm:t>
        <a:bodyPr/>
        <a:lstStyle/>
        <a:p>
          <a:endParaRPr lang="es-ES" sz="900">
            <a:latin typeface="+mj-lt"/>
          </a:endParaRPr>
        </a:p>
      </dgm:t>
    </dgm:pt>
    <dgm:pt modelId="{E03E0018-D727-8644-A630-70200B0B10E3}" type="sibTrans" cxnId="{10C716BA-9CE1-8540-9B19-CBE5D50A999F}">
      <dgm:prSet/>
      <dgm:spPr/>
      <dgm:t>
        <a:bodyPr/>
        <a:lstStyle/>
        <a:p>
          <a:endParaRPr lang="es-ES"/>
        </a:p>
      </dgm:t>
    </dgm:pt>
    <dgm:pt modelId="{F66467E1-F040-6648-A13D-80A39FCC6CBB}">
      <dgm:prSet phldrT="[Texto]" custT="1"/>
      <dgm:spPr/>
      <dgm:t>
        <a:bodyPr/>
        <a:lstStyle/>
        <a:p>
          <a:r>
            <a:rPr lang="en-CA" sz="900" b="1">
              <a:solidFill>
                <a:srgbClr val="000000"/>
              </a:solidFill>
              <a:latin typeface="+mj-lt"/>
            </a:rPr>
            <a:t>Binational Coordinator</a:t>
          </a:r>
          <a:endParaRPr lang="es-ES" sz="900" b="1">
            <a:solidFill>
              <a:srgbClr val="000000"/>
            </a:solidFill>
            <a:latin typeface="+mj-lt"/>
          </a:endParaRPr>
        </a:p>
      </dgm:t>
    </dgm:pt>
    <dgm:pt modelId="{8A97F27E-EE88-BB40-A1B0-F0E2C8EED882}" type="parTrans" cxnId="{8E1331FE-7E2D-C947-A622-A1384F7281A5}">
      <dgm:prSet/>
      <dgm:spPr/>
      <dgm:t>
        <a:bodyPr/>
        <a:lstStyle/>
        <a:p>
          <a:endParaRPr lang="es-ES"/>
        </a:p>
      </dgm:t>
    </dgm:pt>
    <dgm:pt modelId="{B593E94E-9271-C24D-80B4-5243A4253281}" type="sibTrans" cxnId="{8E1331FE-7E2D-C947-A622-A1384F7281A5}">
      <dgm:prSet/>
      <dgm:spPr/>
      <dgm:t>
        <a:bodyPr/>
        <a:lstStyle/>
        <a:p>
          <a:endParaRPr lang="es-ES"/>
        </a:p>
      </dgm:t>
    </dgm:pt>
    <dgm:pt modelId="{AA4C4333-66A9-894C-BAD3-F7DA7DA89D87}">
      <dgm:prSet phldrT="[Texto]" custT="1"/>
      <dgm:spPr/>
      <dgm:t>
        <a:bodyPr/>
        <a:lstStyle/>
        <a:p>
          <a:r>
            <a:rPr lang="en-CA" sz="900">
              <a:latin typeface="+mj-lt"/>
            </a:rPr>
            <a:t>Evaluate, if possible, solve and report.</a:t>
          </a:r>
          <a:endParaRPr lang="es-ES" sz="900">
            <a:latin typeface="+mj-lt"/>
          </a:endParaRPr>
        </a:p>
      </dgm:t>
    </dgm:pt>
    <dgm:pt modelId="{6DB1BFD9-725D-C24B-8D9A-68E9F655DF65}" type="parTrans" cxnId="{B5858B1D-9308-1F4D-8A44-71142D210533}">
      <dgm:prSet/>
      <dgm:spPr/>
      <dgm:t>
        <a:bodyPr/>
        <a:lstStyle/>
        <a:p>
          <a:endParaRPr lang="es-ES" sz="900">
            <a:latin typeface="+mj-lt"/>
          </a:endParaRPr>
        </a:p>
      </dgm:t>
    </dgm:pt>
    <dgm:pt modelId="{589E5B97-0618-F949-844D-435E96AA49CB}" type="sibTrans" cxnId="{B5858B1D-9308-1F4D-8A44-71142D210533}">
      <dgm:prSet/>
      <dgm:spPr/>
      <dgm:t>
        <a:bodyPr/>
        <a:lstStyle/>
        <a:p>
          <a:endParaRPr lang="es-ES"/>
        </a:p>
      </dgm:t>
    </dgm:pt>
    <dgm:pt modelId="{EA7FAF38-BE12-FC47-9EDD-64416285BCBA}">
      <dgm:prSet phldrT="[Texto]" custT="1"/>
      <dgm:spPr/>
      <dgm:t>
        <a:bodyPr/>
        <a:lstStyle/>
        <a:p>
          <a:r>
            <a:rPr lang="en-CA" sz="900">
              <a:latin typeface="+mj-lt"/>
            </a:rPr>
            <a:t>If it is not resolved, a claim is transferred to the Board of Directors</a:t>
          </a:r>
          <a:endParaRPr lang="es-ES" sz="900">
            <a:latin typeface="+mj-lt"/>
          </a:endParaRPr>
        </a:p>
      </dgm:t>
    </dgm:pt>
    <dgm:pt modelId="{4D4A4064-35FA-3345-858D-B8AB5BEAA4C7}" type="parTrans" cxnId="{6A6DB380-DA64-DD47-B849-D6A297E54F2C}">
      <dgm:prSet/>
      <dgm:spPr/>
      <dgm:t>
        <a:bodyPr/>
        <a:lstStyle/>
        <a:p>
          <a:endParaRPr lang="es-ES" sz="900">
            <a:latin typeface="+mj-lt"/>
          </a:endParaRPr>
        </a:p>
      </dgm:t>
    </dgm:pt>
    <dgm:pt modelId="{FF4852B4-C657-CF4D-AD73-A7A8D9974C06}" type="sibTrans" cxnId="{6A6DB380-DA64-DD47-B849-D6A297E54F2C}">
      <dgm:prSet/>
      <dgm:spPr/>
      <dgm:t>
        <a:bodyPr/>
        <a:lstStyle/>
        <a:p>
          <a:endParaRPr lang="es-ES"/>
        </a:p>
      </dgm:t>
    </dgm:pt>
    <dgm:pt modelId="{4BB98C1E-E84C-4F43-BC0C-6574F50DEDBA}">
      <dgm:prSet phldrT="[Texto]" custT="1"/>
      <dgm:spPr/>
      <dgm:t>
        <a:bodyPr/>
        <a:lstStyle/>
        <a:p>
          <a:r>
            <a:rPr lang="en-CA" sz="900" b="1">
              <a:solidFill>
                <a:srgbClr val="000000"/>
              </a:solidFill>
              <a:latin typeface="+mj-lt"/>
            </a:rPr>
            <a:t>Board of Directors</a:t>
          </a:r>
          <a:endParaRPr lang="es-ES" sz="900" b="1">
            <a:solidFill>
              <a:srgbClr val="000000"/>
            </a:solidFill>
            <a:latin typeface="+mj-lt"/>
          </a:endParaRPr>
        </a:p>
      </dgm:t>
    </dgm:pt>
    <dgm:pt modelId="{DF66FCC7-E4EF-CF49-8DC9-956C93CD8135}" type="parTrans" cxnId="{AC585D88-93EE-9245-AC35-7E79C2A1F6F7}">
      <dgm:prSet/>
      <dgm:spPr/>
      <dgm:t>
        <a:bodyPr/>
        <a:lstStyle/>
        <a:p>
          <a:endParaRPr lang="es-ES"/>
        </a:p>
      </dgm:t>
    </dgm:pt>
    <dgm:pt modelId="{27B1F5F0-E784-1043-8DC9-C2D1D4EE2FC1}" type="sibTrans" cxnId="{AC585D88-93EE-9245-AC35-7E79C2A1F6F7}">
      <dgm:prSet/>
      <dgm:spPr/>
      <dgm:t>
        <a:bodyPr/>
        <a:lstStyle/>
        <a:p>
          <a:endParaRPr lang="es-ES"/>
        </a:p>
      </dgm:t>
    </dgm:pt>
    <dgm:pt modelId="{0AC1BA66-2944-3B45-A613-D867D63DE924}">
      <dgm:prSet phldrT="[Texto]" custT="1"/>
      <dgm:spPr/>
      <dgm:t>
        <a:bodyPr/>
        <a:lstStyle/>
        <a:p>
          <a:r>
            <a:rPr lang="en-CA" sz="900">
              <a:latin typeface="+mj-lt"/>
            </a:rPr>
            <a:t>Activate the claims repair committee (CRR)</a:t>
          </a:r>
          <a:endParaRPr lang="es-ES" sz="900">
            <a:latin typeface="+mj-lt"/>
          </a:endParaRPr>
        </a:p>
      </dgm:t>
    </dgm:pt>
    <dgm:pt modelId="{79D9DF54-5F39-4247-8013-8CE72C5E68C4}" type="parTrans" cxnId="{07165B71-3082-EB4A-A79F-6E178542645F}">
      <dgm:prSet/>
      <dgm:spPr/>
      <dgm:t>
        <a:bodyPr/>
        <a:lstStyle/>
        <a:p>
          <a:endParaRPr lang="es-ES" sz="900">
            <a:latin typeface="+mj-lt"/>
          </a:endParaRPr>
        </a:p>
      </dgm:t>
    </dgm:pt>
    <dgm:pt modelId="{27438E7D-895B-784E-A1C3-F555FC3E3E79}" type="sibTrans" cxnId="{07165B71-3082-EB4A-A79F-6E178542645F}">
      <dgm:prSet/>
      <dgm:spPr/>
      <dgm:t>
        <a:bodyPr/>
        <a:lstStyle/>
        <a:p>
          <a:endParaRPr lang="es-ES"/>
        </a:p>
      </dgm:t>
    </dgm:pt>
    <dgm:pt modelId="{55C584ED-489A-8842-B658-CD677061A160}">
      <dgm:prSet phldrT="[Texto]" custT="1"/>
      <dgm:spPr/>
      <dgm:t>
        <a:bodyPr/>
        <a:lstStyle/>
        <a:p>
          <a:r>
            <a:rPr lang="en-CA" sz="900">
              <a:latin typeface="+mj-lt"/>
            </a:rPr>
            <a:t>Periodically monitor all existing claims cases</a:t>
          </a:r>
          <a:endParaRPr lang="es-ES" sz="900">
            <a:latin typeface="+mj-lt"/>
          </a:endParaRPr>
        </a:p>
      </dgm:t>
    </dgm:pt>
    <dgm:pt modelId="{F81200F1-D020-E84B-B3C6-36A6B1857DA4}" type="parTrans" cxnId="{4BFE4C84-6A52-8B4D-98C0-877ECF7FD7B6}">
      <dgm:prSet/>
      <dgm:spPr/>
      <dgm:t>
        <a:bodyPr/>
        <a:lstStyle/>
        <a:p>
          <a:endParaRPr lang="es-ES" sz="900">
            <a:latin typeface="+mj-lt"/>
          </a:endParaRPr>
        </a:p>
      </dgm:t>
    </dgm:pt>
    <dgm:pt modelId="{BF238F28-80C3-354A-9680-CE9B98FC7BAE}" type="sibTrans" cxnId="{4BFE4C84-6A52-8B4D-98C0-877ECF7FD7B6}">
      <dgm:prSet/>
      <dgm:spPr/>
      <dgm:t>
        <a:bodyPr/>
        <a:lstStyle/>
        <a:p>
          <a:endParaRPr lang="es-ES"/>
        </a:p>
      </dgm:t>
    </dgm:pt>
    <dgm:pt modelId="{730C954A-1437-6F46-8E4E-525CC06EB9B4}">
      <dgm:prSet phldrT="[Texto]" custT="1"/>
      <dgm:spPr/>
      <dgm:t>
        <a:bodyPr/>
        <a:lstStyle/>
        <a:p>
          <a:endParaRPr lang="es-ES" sz="900">
            <a:latin typeface="+mj-lt"/>
          </a:endParaRPr>
        </a:p>
        <a:p>
          <a:endParaRPr lang="es-ES" sz="900">
            <a:latin typeface="+mj-lt"/>
          </a:endParaRPr>
        </a:p>
      </dgm:t>
    </dgm:pt>
    <dgm:pt modelId="{AE31B4DC-7832-E84C-BBF4-771A381540DF}" type="parTrans" cxnId="{1BC1B363-1FA0-7048-9F66-B2CBBC40AE60}">
      <dgm:prSet/>
      <dgm:spPr/>
      <dgm:t>
        <a:bodyPr/>
        <a:lstStyle/>
        <a:p>
          <a:endParaRPr lang="es-ES" sz="900"/>
        </a:p>
      </dgm:t>
    </dgm:pt>
    <dgm:pt modelId="{564E0AF0-6F71-644B-B760-7DCC29DB9FFD}" type="sibTrans" cxnId="{1BC1B363-1FA0-7048-9F66-B2CBBC40AE60}">
      <dgm:prSet/>
      <dgm:spPr/>
      <dgm:t>
        <a:bodyPr/>
        <a:lstStyle/>
        <a:p>
          <a:endParaRPr lang="es-ES"/>
        </a:p>
      </dgm:t>
    </dgm:pt>
    <dgm:pt modelId="{BF9598EE-FFFA-1C4F-A3A1-B170881B9FF1}">
      <dgm:prSet phldrT="[Texto]" custT="1"/>
      <dgm:spPr/>
      <dgm:t>
        <a:bodyPr/>
        <a:lstStyle/>
        <a:p>
          <a:r>
            <a:rPr lang="en-CA" sz="900">
              <a:latin typeface="+mj-lt"/>
            </a:rPr>
            <a:t>Monitor all levels and report to the Steering Committee</a:t>
          </a:r>
          <a:endParaRPr lang="es-ES" sz="900">
            <a:latin typeface="+mj-lt"/>
          </a:endParaRPr>
        </a:p>
      </dgm:t>
    </dgm:pt>
    <dgm:pt modelId="{C3AC9860-8E67-9F43-ACC6-972DD2EC422C}" type="parTrans" cxnId="{528296F3-09E3-054D-B005-9BE899A52D28}">
      <dgm:prSet/>
      <dgm:spPr/>
      <dgm:t>
        <a:bodyPr/>
        <a:lstStyle/>
        <a:p>
          <a:endParaRPr lang="es-ES" sz="900"/>
        </a:p>
      </dgm:t>
    </dgm:pt>
    <dgm:pt modelId="{235D4A8E-AEAD-F84E-8AF5-AFFDB52DB11F}" type="sibTrans" cxnId="{528296F3-09E3-054D-B005-9BE899A52D28}">
      <dgm:prSet/>
      <dgm:spPr/>
      <dgm:t>
        <a:bodyPr/>
        <a:lstStyle/>
        <a:p>
          <a:endParaRPr lang="es-ES"/>
        </a:p>
      </dgm:t>
    </dgm:pt>
    <dgm:pt modelId="{05FD98B7-EE50-AD44-ABF1-E9152599BA09}">
      <dgm:prSet phldrT="[Texto]" custT="1"/>
      <dgm:spPr/>
      <dgm:t>
        <a:bodyPr/>
        <a:lstStyle/>
        <a:p>
          <a:endParaRPr lang="es-ES" sz="900">
            <a:latin typeface="+mj-lt"/>
          </a:endParaRPr>
        </a:p>
      </dgm:t>
    </dgm:pt>
    <dgm:pt modelId="{5F82353C-8012-A241-BD09-605807DE2999}" type="parTrans" cxnId="{96F17DD3-CAC9-2147-BBBA-CDC8723D26F3}">
      <dgm:prSet/>
      <dgm:spPr/>
      <dgm:t>
        <a:bodyPr/>
        <a:lstStyle/>
        <a:p>
          <a:endParaRPr lang="es-ES" sz="900"/>
        </a:p>
      </dgm:t>
    </dgm:pt>
    <dgm:pt modelId="{458F2EA0-83DC-D84B-9F99-06FCE097BC84}" type="sibTrans" cxnId="{96F17DD3-CAC9-2147-BBBA-CDC8723D26F3}">
      <dgm:prSet/>
      <dgm:spPr/>
      <dgm:t>
        <a:bodyPr/>
        <a:lstStyle/>
        <a:p>
          <a:endParaRPr lang="es-ES"/>
        </a:p>
      </dgm:t>
    </dgm:pt>
    <dgm:pt modelId="{6EF494BE-8DB3-5D4D-AF66-11C6DD27AAE7}">
      <dgm:prSet phldrT="[Texto]" custT="1"/>
      <dgm:spPr/>
      <dgm:t>
        <a:bodyPr/>
        <a:lstStyle/>
        <a:p>
          <a:endParaRPr lang="es-ES" sz="900">
            <a:latin typeface="+mj-lt"/>
          </a:endParaRPr>
        </a:p>
      </dgm:t>
    </dgm:pt>
    <dgm:pt modelId="{D6B80FE4-0100-9540-9632-C1F24FE59CFF}" type="parTrans" cxnId="{30E63300-7930-C14C-9BCC-C357CE765EA6}">
      <dgm:prSet/>
      <dgm:spPr/>
      <dgm:t>
        <a:bodyPr/>
        <a:lstStyle/>
        <a:p>
          <a:endParaRPr lang="es-ES" sz="900"/>
        </a:p>
      </dgm:t>
    </dgm:pt>
    <dgm:pt modelId="{54FBF337-149B-254D-8D7B-B9E3BDD14AFD}" type="sibTrans" cxnId="{30E63300-7930-C14C-9BCC-C357CE765EA6}">
      <dgm:prSet/>
      <dgm:spPr/>
      <dgm:t>
        <a:bodyPr/>
        <a:lstStyle/>
        <a:p>
          <a:endParaRPr lang="es-ES"/>
        </a:p>
      </dgm:t>
    </dgm:pt>
    <dgm:pt modelId="{CBFDC2CD-8594-FA46-8340-99EF9474DBD3}">
      <dgm:prSet phldrT="[Texto]" custT="1"/>
      <dgm:spPr/>
      <dgm:t>
        <a:bodyPr/>
        <a:lstStyle/>
        <a:p>
          <a:r>
            <a:rPr lang="en-CA" sz="900">
              <a:latin typeface="+mj-lt"/>
            </a:rPr>
            <a:t>Evaluate and answer and solve</a:t>
          </a:r>
          <a:endParaRPr lang="es-ES" sz="900">
            <a:latin typeface="+mj-lt"/>
          </a:endParaRPr>
        </a:p>
      </dgm:t>
    </dgm:pt>
    <dgm:pt modelId="{958FEB74-330B-E646-B05E-43F3F8027A26}" type="parTrans" cxnId="{B2C0E0E7-F68A-1C4C-BC4A-EA5A75B088C8}">
      <dgm:prSet/>
      <dgm:spPr/>
      <dgm:t>
        <a:bodyPr/>
        <a:lstStyle/>
        <a:p>
          <a:endParaRPr lang="es-ES" sz="900"/>
        </a:p>
      </dgm:t>
    </dgm:pt>
    <dgm:pt modelId="{BE5A822B-768B-0B42-859E-CD0E9EC90843}" type="sibTrans" cxnId="{B2C0E0E7-F68A-1C4C-BC4A-EA5A75B088C8}">
      <dgm:prSet/>
      <dgm:spPr/>
      <dgm:t>
        <a:bodyPr/>
        <a:lstStyle/>
        <a:p>
          <a:endParaRPr lang="es-ES"/>
        </a:p>
      </dgm:t>
    </dgm:pt>
    <dgm:pt modelId="{A729BD5A-0EBF-F144-86F1-1CC3319754D5}" type="pres">
      <dgm:prSet presAssocID="{DA99884C-BDB7-F040-8870-3EF33B3ADFDA}" presName="diagram" presStyleCnt="0">
        <dgm:presLayoutVars>
          <dgm:chPref val="1"/>
          <dgm:dir/>
          <dgm:animOne val="branch"/>
          <dgm:animLvl val="lvl"/>
          <dgm:resizeHandles/>
        </dgm:presLayoutVars>
      </dgm:prSet>
      <dgm:spPr/>
    </dgm:pt>
    <dgm:pt modelId="{7A8BDC75-99D8-6548-8899-F238ACCEC7AB}" type="pres">
      <dgm:prSet presAssocID="{73DC87BC-731B-0F4B-840E-0E85AB916A42}" presName="root" presStyleCnt="0"/>
      <dgm:spPr/>
    </dgm:pt>
    <dgm:pt modelId="{AA83D86B-6FB4-5B4A-845B-853B3B57B316}" type="pres">
      <dgm:prSet presAssocID="{73DC87BC-731B-0F4B-840E-0E85AB916A42}" presName="rootComposite" presStyleCnt="0"/>
      <dgm:spPr/>
    </dgm:pt>
    <dgm:pt modelId="{DF9B6FA5-EF20-4B46-B8CC-B88C3C33419B}" type="pres">
      <dgm:prSet presAssocID="{73DC87BC-731B-0F4B-840E-0E85AB916A42}" presName="rootText" presStyleLbl="node1" presStyleIdx="0" presStyleCnt="4"/>
      <dgm:spPr/>
    </dgm:pt>
    <dgm:pt modelId="{C186699F-A637-8A4A-9D5B-99869867B028}" type="pres">
      <dgm:prSet presAssocID="{73DC87BC-731B-0F4B-840E-0E85AB916A42}" presName="rootConnector" presStyleLbl="node1" presStyleIdx="0" presStyleCnt="4"/>
      <dgm:spPr/>
    </dgm:pt>
    <dgm:pt modelId="{15B24AF5-454E-D94A-8054-597B89CF5265}" type="pres">
      <dgm:prSet presAssocID="{73DC87BC-731B-0F4B-840E-0E85AB916A42}" presName="childShape" presStyleCnt="0"/>
      <dgm:spPr/>
    </dgm:pt>
    <dgm:pt modelId="{6448DB31-6443-BC4F-9443-0310E6247F41}" type="pres">
      <dgm:prSet presAssocID="{B92A730B-E5CC-3048-A1DC-9D0BD342CC4B}" presName="Name13" presStyleLbl="parChTrans1D2" presStyleIdx="0" presStyleCnt="13"/>
      <dgm:spPr/>
    </dgm:pt>
    <dgm:pt modelId="{7C9A3FDC-E55A-CE46-9E72-7D584398577B}" type="pres">
      <dgm:prSet presAssocID="{D44840FB-E555-094B-AC9D-391EFE2B3271}" presName="childText" presStyleLbl="bgAcc1" presStyleIdx="0" presStyleCnt="13">
        <dgm:presLayoutVars>
          <dgm:bulletEnabled val="1"/>
        </dgm:presLayoutVars>
      </dgm:prSet>
      <dgm:spPr/>
    </dgm:pt>
    <dgm:pt modelId="{FD2370B7-7034-5C47-83C0-D89406438F7E}" type="pres">
      <dgm:prSet presAssocID="{93A22588-5175-9949-BFE0-9BD981EF674F}" presName="Name13" presStyleLbl="parChTrans1D2" presStyleIdx="1" presStyleCnt="13"/>
      <dgm:spPr/>
    </dgm:pt>
    <dgm:pt modelId="{45E4FD74-13B5-0448-A544-4A9DE8FBDF22}" type="pres">
      <dgm:prSet presAssocID="{FAD78B72-BE47-B047-87BA-FFDB44765275}" presName="childText" presStyleLbl="bgAcc1" presStyleIdx="1" presStyleCnt="13" custScaleX="96310" custScaleY="171075">
        <dgm:presLayoutVars>
          <dgm:bulletEnabled val="1"/>
        </dgm:presLayoutVars>
      </dgm:prSet>
      <dgm:spPr/>
    </dgm:pt>
    <dgm:pt modelId="{DCCFE17A-8C2D-BB42-BB77-3256EBFD86EE}" type="pres">
      <dgm:prSet presAssocID="{AE31B4DC-7832-E84C-BBF4-771A381540DF}" presName="Name13" presStyleLbl="parChTrans1D2" presStyleIdx="2" presStyleCnt="13"/>
      <dgm:spPr/>
    </dgm:pt>
    <dgm:pt modelId="{81573FC8-C6AE-8F44-80DA-A2FB3A25C3A1}" type="pres">
      <dgm:prSet presAssocID="{730C954A-1437-6F46-8E4E-525CC06EB9B4}" presName="childText" presStyleLbl="bgAcc1" presStyleIdx="2" presStyleCnt="13" custLinFactNeighborX="34044" custLinFactNeighborY="10537">
        <dgm:presLayoutVars>
          <dgm:bulletEnabled val="1"/>
        </dgm:presLayoutVars>
      </dgm:prSet>
      <dgm:spPr>
        <a:prstGeom prst="curvedUpArrow">
          <a:avLst/>
        </a:prstGeom>
      </dgm:spPr>
    </dgm:pt>
    <dgm:pt modelId="{F120E180-2CA6-8F4E-B6C5-B216C4872D34}" type="pres">
      <dgm:prSet presAssocID="{DD2270D8-8BBA-CD4B-A3D1-9C9E940A6593}" presName="root" presStyleCnt="0"/>
      <dgm:spPr/>
    </dgm:pt>
    <dgm:pt modelId="{42087A9E-53BA-474E-9340-1ACAEBF1D511}" type="pres">
      <dgm:prSet presAssocID="{DD2270D8-8BBA-CD4B-A3D1-9C9E940A6593}" presName="rootComposite" presStyleCnt="0"/>
      <dgm:spPr/>
    </dgm:pt>
    <dgm:pt modelId="{C6B895C4-25B2-A341-9E84-7AC5BAD63AF1}" type="pres">
      <dgm:prSet presAssocID="{DD2270D8-8BBA-CD4B-A3D1-9C9E940A6593}" presName="rootText" presStyleLbl="node1" presStyleIdx="1" presStyleCnt="4"/>
      <dgm:spPr/>
    </dgm:pt>
    <dgm:pt modelId="{B86C1A37-6E65-8441-BF3B-1DF54BDA0346}" type="pres">
      <dgm:prSet presAssocID="{DD2270D8-8BBA-CD4B-A3D1-9C9E940A6593}" presName="rootConnector" presStyleLbl="node1" presStyleIdx="1" presStyleCnt="4"/>
      <dgm:spPr/>
    </dgm:pt>
    <dgm:pt modelId="{EA147608-AF33-004B-8DF5-B295DECAEDF5}" type="pres">
      <dgm:prSet presAssocID="{DD2270D8-8BBA-CD4B-A3D1-9C9E940A6593}" presName="childShape" presStyleCnt="0"/>
      <dgm:spPr/>
    </dgm:pt>
    <dgm:pt modelId="{27191425-0688-8548-AD09-61BF707E4C75}" type="pres">
      <dgm:prSet presAssocID="{7E1B9248-3037-5941-9228-BF478F6042D5}" presName="Name13" presStyleLbl="parChTrans1D2" presStyleIdx="3" presStyleCnt="13"/>
      <dgm:spPr/>
    </dgm:pt>
    <dgm:pt modelId="{053B707F-9771-5E47-B25F-7D1C4B6EDD54}" type="pres">
      <dgm:prSet presAssocID="{77229A55-AB63-2244-A246-21E5CB7D02D4}" presName="childText" presStyleLbl="bgAcc1" presStyleIdx="3" presStyleCnt="13" custScaleX="103442">
        <dgm:presLayoutVars>
          <dgm:bulletEnabled val="1"/>
        </dgm:presLayoutVars>
      </dgm:prSet>
      <dgm:spPr/>
    </dgm:pt>
    <dgm:pt modelId="{3ED71A74-AEFA-714F-9D1C-44EAEBD5E738}" type="pres">
      <dgm:prSet presAssocID="{0E3E7BF8-F332-8F46-8D87-ED1D276065AD}" presName="Name13" presStyleLbl="parChTrans1D2" presStyleIdx="4" presStyleCnt="13"/>
      <dgm:spPr/>
    </dgm:pt>
    <dgm:pt modelId="{29D22DCD-1032-8548-9258-EFA54B035482}" type="pres">
      <dgm:prSet presAssocID="{0D1235A8-6955-A34B-A51B-0CB8808FA496}" presName="childText" presStyleLbl="bgAcc1" presStyleIdx="4" presStyleCnt="13" custScaleX="115006" custScaleY="132044">
        <dgm:presLayoutVars>
          <dgm:bulletEnabled val="1"/>
        </dgm:presLayoutVars>
      </dgm:prSet>
      <dgm:spPr/>
    </dgm:pt>
    <dgm:pt modelId="{944FC5F5-E1A0-254A-BC5E-E25EE1761C7B}" type="pres">
      <dgm:prSet presAssocID="{5F82353C-8012-A241-BD09-605807DE2999}" presName="Name13" presStyleLbl="parChTrans1D2" presStyleIdx="5" presStyleCnt="13"/>
      <dgm:spPr/>
    </dgm:pt>
    <dgm:pt modelId="{6CC40A59-CA41-7041-A25E-6D826D3DFA7D}" type="pres">
      <dgm:prSet presAssocID="{05FD98B7-EE50-AD44-ABF1-E9152599BA09}" presName="childText" presStyleLbl="bgAcc1" presStyleIdx="5" presStyleCnt="13" custLinFactNeighborX="33932" custLinFactNeighborY="-21507">
        <dgm:presLayoutVars>
          <dgm:bulletEnabled val="1"/>
        </dgm:presLayoutVars>
      </dgm:prSet>
      <dgm:spPr>
        <a:prstGeom prst="curvedUpArrow">
          <a:avLst/>
        </a:prstGeom>
      </dgm:spPr>
    </dgm:pt>
    <dgm:pt modelId="{39EB1B40-1F37-F649-AB77-B615A6DE0B91}" type="pres">
      <dgm:prSet presAssocID="{C3AC9860-8E67-9F43-ACC6-972DD2EC422C}" presName="Name13" presStyleLbl="parChTrans1D2" presStyleIdx="6" presStyleCnt="13"/>
      <dgm:spPr/>
    </dgm:pt>
    <dgm:pt modelId="{C675D499-B073-6A4B-860D-40D134A7DF5D}" type="pres">
      <dgm:prSet presAssocID="{BF9598EE-FFFA-1C4F-A3A1-B170881B9FF1}" presName="childText" presStyleLbl="bgAcc1" presStyleIdx="6" presStyleCnt="13" custScaleX="111315">
        <dgm:presLayoutVars>
          <dgm:bulletEnabled val="1"/>
        </dgm:presLayoutVars>
      </dgm:prSet>
      <dgm:spPr/>
    </dgm:pt>
    <dgm:pt modelId="{79481F94-4347-E942-B359-2B8F5523BD47}" type="pres">
      <dgm:prSet presAssocID="{F66467E1-F040-6648-A13D-80A39FCC6CBB}" presName="root" presStyleCnt="0"/>
      <dgm:spPr/>
    </dgm:pt>
    <dgm:pt modelId="{A4C60EA0-5958-494F-A414-152DACB0CE71}" type="pres">
      <dgm:prSet presAssocID="{F66467E1-F040-6648-A13D-80A39FCC6CBB}" presName="rootComposite" presStyleCnt="0"/>
      <dgm:spPr/>
    </dgm:pt>
    <dgm:pt modelId="{DCFF21FD-E293-E145-8D81-2C4C969B5D03}" type="pres">
      <dgm:prSet presAssocID="{F66467E1-F040-6648-A13D-80A39FCC6CBB}" presName="rootText" presStyleLbl="node1" presStyleIdx="2" presStyleCnt="4"/>
      <dgm:spPr/>
    </dgm:pt>
    <dgm:pt modelId="{85BC5C0B-D927-744E-8556-6D595C874EAA}" type="pres">
      <dgm:prSet presAssocID="{F66467E1-F040-6648-A13D-80A39FCC6CBB}" presName="rootConnector" presStyleLbl="node1" presStyleIdx="2" presStyleCnt="4"/>
      <dgm:spPr/>
    </dgm:pt>
    <dgm:pt modelId="{A3FB0452-42D9-4F4D-A6BB-4E89CCFCC443}" type="pres">
      <dgm:prSet presAssocID="{F66467E1-F040-6648-A13D-80A39FCC6CBB}" presName="childShape" presStyleCnt="0"/>
      <dgm:spPr/>
    </dgm:pt>
    <dgm:pt modelId="{A8107386-2CD3-F445-9863-631B568A5538}" type="pres">
      <dgm:prSet presAssocID="{6DB1BFD9-725D-C24B-8D9A-68E9F655DF65}" presName="Name13" presStyleLbl="parChTrans1D2" presStyleIdx="7" presStyleCnt="13"/>
      <dgm:spPr/>
    </dgm:pt>
    <dgm:pt modelId="{3A4E2DAB-110F-A348-AC56-C91512129376}" type="pres">
      <dgm:prSet presAssocID="{AA4C4333-66A9-894C-BAD3-F7DA7DA89D87}" presName="childText" presStyleLbl="bgAcc1" presStyleIdx="7" presStyleCnt="13" custScaleX="117128" custScaleY="99745">
        <dgm:presLayoutVars>
          <dgm:bulletEnabled val="1"/>
        </dgm:presLayoutVars>
      </dgm:prSet>
      <dgm:spPr/>
    </dgm:pt>
    <dgm:pt modelId="{BBFC8132-987B-3A48-9C3B-AD8E3DCAB7B1}" type="pres">
      <dgm:prSet presAssocID="{4D4A4064-35FA-3345-858D-B8AB5BEAA4C7}" presName="Name13" presStyleLbl="parChTrans1D2" presStyleIdx="8" presStyleCnt="13"/>
      <dgm:spPr/>
    </dgm:pt>
    <dgm:pt modelId="{480400DB-1204-0145-A25C-1540B13D425C}" type="pres">
      <dgm:prSet presAssocID="{EA7FAF38-BE12-FC47-9EDD-64416285BCBA}" presName="childText" presStyleLbl="bgAcc1" presStyleIdx="8" presStyleCnt="13" custScaleX="118097" custScaleY="125171">
        <dgm:presLayoutVars>
          <dgm:bulletEnabled val="1"/>
        </dgm:presLayoutVars>
      </dgm:prSet>
      <dgm:spPr/>
    </dgm:pt>
    <dgm:pt modelId="{EC14940E-4E7A-F240-B82E-8BA352FD7A2D}" type="pres">
      <dgm:prSet presAssocID="{D6B80FE4-0100-9540-9632-C1F24FE59CFF}" presName="Name13" presStyleLbl="parChTrans1D2" presStyleIdx="9" presStyleCnt="13"/>
      <dgm:spPr/>
    </dgm:pt>
    <dgm:pt modelId="{210E00FC-DE0B-3C41-B774-0C67AA3AAFF2}" type="pres">
      <dgm:prSet presAssocID="{6EF494BE-8DB3-5D4D-AF66-11C6DD27AAE7}" presName="childText" presStyleLbl="bgAcc1" presStyleIdx="9" presStyleCnt="13" custLinFactNeighborX="35478" custLinFactNeighborY="-14634">
        <dgm:presLayoutVars>
          <dgm:bulletEnabled val="1"/>
        </dgm:presLayoutVars>
      </dgm:prSet>
      <dgm:spPr>
        <a:prstGeom prst="curvedUpArrow">
          <a:avLst/>
        </a:prstGeom>
      </dgm:spPr>
    </dgm:pt>
    <dgm:pt modelId="{43070212-0222-CE41-8C2B-C656AAEDA320}" type="pres">
      <dgm:prSet presAssocID="{4BB98C1E-E84C-4F43-BC0C-6574F50DEDBA}" presName="root" presStyleCnt="0"/>
      <dgm:spPr/>
    </dgm:pt>
    <dgm:pt modelId="{DBE837B8-F8BC-F944-9A58-651A05DA5508}" type="pres">
      <dgm:prSet presAssocID="{4BB98C1E-E84C-4F43-BC0C-6574F50DEDBA}" presName="rootComposite" presStyleCnt="0"/>
      <dgm:spPr/>
    </dgm:pt>
    <dgm:pt modelId="{288F5459-113B-D243-918C-3258A318A3F7}" type="pres">
      <dgm:prSet presAssocID="{4BB98C1E-E84C-4F43-BC0C-6574F50DEDBA}" presName="rootText" presStyleLbl="node1" presStyleIdx="3" presStyleCnt="4"/>
      <dgm:spPr/>
    </dgm:pt>
    <dgm:pt modelId="{35B9F9D2-CCC3-1E4D-8E7F-8EA5909CC0F1}" type="pres">
      <dgm:prSet presAssocID="{4BB98C1E-E84C-4F43-BC0C-6574F50DEDBA}" presName="rootConnector" presStyleLbl="node1" presStyleIdx="3" presStyleCnt="4"/>
      <dgm:spPr/>
    </dgm:pt>
    <dgm:pt modelId="{2A564E56-6B8E-D34E-9CCA-10DCB96C1BF1}" type="pres">
      <dgm:prSet presAssocID="{4BB98C1E-E84C-4F43-BC0C-6574F50DEDBA}" presName="childShape" presStyleCnt="0"/>
      <dgm:spPr/>
    </dgm:pt>
    <dgm:pt modelId="{A0CC4F17-F1A8-E145-8F53-01FBC5BDEE15}" type="pres">
      <dgm:prSet presAssocID="{79D9DF54-5F39-4247-8013-8CE72C5E68C4}" presName="Name13" presStyleLbl="parChTrans1D2" presStyleIdx="10" presStyleCnt="13"/>
      <dgm:spPr/>
    </dgm:pt>
    <dgm:pt modelId="{53ABA24F-D469-E941-B4EE-333594E1C257}" type="pres">
      <dgm:prSet presAssocID="{0AC1BA66-2944-3B45-A613-D867D63DE924}" presName="childText" presStyleLbl="bgAcc1" presStyleIdx="10" presStyleCnt="13" custScaleX="109627">
        <dgm:presLayoutVars>
          <dgm:bulletEnabled val="1"/>
        </dgm:presLayoutVars>
      </dgm:prSet>
      <dgm:spPr/>
    </dgm:pt>
    <dgm:pt modelId="{0C8472C6-4323-8C45-BFA7-BBA4C37596C0}" type="pres">
      <dgm:prSet presAssocID="{958FEB74-330B-E646-B05E-43F3F8027A26}" presName="Name13" presStyleLbl="parChTrans1D2" presStyleIdx="11" presStyleCnt="13"/>
      <dgm:spPr/>
    </dgm:pt>
    <dgm:pt modelId="{953946FD-9CD1-5245-82CA-4D3E8B2810D7}" type="pres">
      <dgm:prSet presAssocID="{CBFDC2CD-8594-FA46-8340-99EF9474DBD3}" presName="childText" presStyleLbl="bgAcc1" presStyleIdx="11" presStyleCnt="13">
        <dgm:presLayoutVars>
          <dgm:bulletEnabled val="1"/>
        </dgm:presLayoutVars>
      </dgm:prSet>
      <dgm:spPr/>
    </dgm:pt>
    <dgm:pt modelId="{2EC40B24-4A93-2542-837D-F119DBD1115C}" type="pres">
      <dgm:prSet presAssocID="{F81200F1-D020-E84B-B3C6-36A6B1857DA4}" presName="Name13" presStyleLbl="parChTrans1D2" presStyleIdx="12" presStyleCnt="13"/>
      <dgm:spPr/>
    </dgm:pt>
    <dgm:pt modelId="{A30582DE-11C5-6A45-8088-359BB20A7AA2}" type="pres">
      <dgm:prSet presAssocID="{55C584ED-489A-8842-B658-CD677061A160}" presName="childText" presStyleLbl="bgAcc1" presStyleIdx="12" presStyleCnt="13" custScaleX="119159" custScaleY="145905">
        <dgm:presLayoutVars>
          <dgm:bulletEnabled val="1"/>
        </dgm:presLayoutVars>
      </dgm:prSet>
      <dgm:spPr/>
    </dgm:pt>
  </dgm:ptLst>
  <dgm:cxnLst>
    <dgm:cxn modelId="{30E63300-7930-C14C-9BCC-C357CE765EA6}" srcId="{F66467E1-F040-6648-A13D-80A39FCC6CBB}" destId="{6EF494BE-8DB3-5D4D-AF66-11C6DD27AAE7}" srcOrd="2" destOrd="0" parTransId="{D6B80FE4-0100-9540-9632-C1F24FE59CFF}" sibTransId="{54FBF337-149B-254D-8D7B-B9E3BDD14AFD}"/>
    <dgm:cxn modelId="{5800D104-855F-4C43-9200-292B20856155}" type="presOf" srcId="{F66467E1-F040-6648-A13D-80A39FCC6CBB}" destId="{DCFF21FD-E293-E145-8D81-2C4C969B5D03}" srcOrd="0" destOrd="0" presId="urn:microsoft.com/office/officeart/2005/8/layout/hierarchy3"/>
    <dgm:cxn modelId="{385EB508-EEC9-4006-9A91-DD243FA14FEB}" type="presOf" srcId="{958FEB74-330B-E646-B05E-43F3F8027A26}" destId="{0C8472C6-4323-8C45-BFA7-BBA4C37596C0}" srcOrd="0" destOrd="0" presId="urn:microsoft.com/office/officeart/2005/8/layout/hierarchy3"/>
    <dgm:cxn modelId="{AD3FCE1C-CCFD-44A0-BDFA-806D25B2CD75}" type="presOf" srcId="{AE31B4DC-7832-E84C-BBF4-771A381540DF}" destId="{DCCFE17A-8C2D-BB42-BB77-3256EBFD86EE}" srcOrd="0" destOrd="0" presId="urn:microsoft.com/office/officeart/2005/8/layout/hierarchy3"/>
    <dgm:cxn modelId="{B5858B1D-9308-1F4D-8A44-71142D210533}" srcId="{F66467E1-F040-6648-A13D-80A39FCC6CBB}" destId="{AA4C4333-66A9-894C-BAD3-F7DA7DA89D87}" srcOrd="0" destOrd="0" parTransId="{6DB1BFD9-725D-C24B-8D9A-68E9F655DF65}" sibTransId="{589E5B97-0618-F949-844D-435E96AA49CB}"/>
    <dgm:cxn modelId="{3DB2011E-08CF-4F3F-A96B-D69C962AB76C}" type="presOf" srcId="{AA4C4333-66A9-894C-BAD3-F7DA7DA89D87}" destId="{3A4E2DAB-110F-A348-AC56-C91512129376}" srcOrd="0" destOrd="0" presId="urn:microsoft.com/office/officeart/2005/8/layout/hierarchy3"/>
    <dgm:cxn modelId="{3C603E33-927A-4C4B-9D7E-1BE54BFA987D}" type="presOf" srcId="{BF9598EE-FFFA-1C4F-A3A1-B170881B9FF1}" destId="{C675D499-B073-6A4B-860D-40D134A7DF5D}" srcOrd="0" destOrd="0" presId="urn:microsoft.com/office/officeart/2005/8/layout/hierarchy3"/>
    <dgm:cxn modelId="{564D7034-62D4-49DD-BF39-E8B9FAFCECCF}" type="presOf" srcId="{C3AC9860-8E67-9F43-ACC6-972DD2EC422C}" destId="{39EB1B40-1F37-F649-AB77-B615A6DE0B91}" srcOrd="0" destOrd="0" presId="urn:microsoft.com/office/officeart/2005/8/layout/hierarchy3"/>
    <dgm:cxn modelId="{6E0A653A-B99C-43FA-BF77-0828F422C3BF}" type="presOf" srcId="{4BB98C1E-E84C-4F43-BC0C-6574F50DEDBA}" destId="{35B9F9D2-CCC3-1E4D-8E7F-8EA5909CC0F1}" srcOrd="1" destOrd="0" presId="urn:microsoft.com/office/officeart/2005/8/layout/hierarchy3"/>
    <dgm:cxn modelId="{9DA8063E-A2C8-47F6-B1C9-AFACDB42D059}" type="presOf" srcId="{5F82353C-8012-A241-BD09-605807DE2999}" destId="{944FC5F5-E1A0-254A-BC5E-E25EE1761C7B}" srcOrd="0" destOrd="0" presId="urn:microsoft.com/office/officeart/2005/8/layout/hierarchy3"/>
    <dgm:cxn modelId="{779E635E-C1C2-4C78-A851-151647E7CC43}" type="presOf" srcId="{D44840FB-E555-094B-AC9D-391EFE2B3271}" destId="{7C9A3FDC-E55A-CE46-9E72-7D584398577B}" srcOrd="0" destOrd="0" presId="urn:microsoft.com/office/officeart/2005/8/layout/hierarchy3"/>
    <dgm:cxn modelId="{C0CFF65E-AC3C-4521-B39F-E5D23A257C64}" type="presOf" srcId="{DA99884C-BDB7-F040-8870-3EF33B3ADFDA}" destId="{A729BD5A-0EBF-F144-86F1-1CC3319754D5}" srcOrd="0" destOrd="0" presId="urn:microsoft.com/office/officeart/2005/8/layout/hierarchy3"/>
    <dgm:cxn modelId="{821EAF61-ADCD-48A2-BCE6-E5BC1329D628}" type="presOf" srcId="{73DC87BC-731B-0F4B-840E-0E85AB916A42}" destId="{DF9B6FA5-EF20-4B46-B8CC-B88C3C33419B}" srcOrd="0" destOrd="0" presId="urn:microsoft.com/office/officeart/2005/8/layout/hierarchy3"/>
    <dgm:cxn modelId="{1BC1B363-1FA0-7048-9F66-B2CBBC40AE60}" srcId="{73DC87BC-731B-0F4B-840E-0E85AB916A42}" destId="{730C954A-1437-6F46-8E4E-525CC06EB9B4}" srcOrd="2" destOrd="0" parTransId="{AE31B4DC-7832-E84C-BBF4-771A381540DF}" sibTransId="{564E0AF0-6F71-644B-B760-7DCC29DB9FFD}"/>
    <dgm:cxn modelId="{1A9D6847-0644-4E2D-8DC7-6764BDA6B0A9}" type="presOf" srcId="{730C954A-1437-6F46-8E4E-525CC06EB9B4}" destId="{81573FC8-C6AE-8F44-80DA-A2FB3A25C3A1}" srcOrd="0" destOrd="0" presId="urn:microsoft.com/office/officeart/2005/8/layout/hierarchy3"/>
    <dgm:cxn modelId="{07165B71-3082-EB4A-A79F-6E178542645F}" srcId="{4BB98C1E-E84C-4F43-BC0C-6574F50DEDBA}" destId="{0AC1BA66-2944-3B45-A613-D867D63DE924}" srcOrd="0" destOrd="0" parTransId="{79D9DF54-5F39-4247-8013-8CE72C5E68C4}" sibTransId="{27438E7D-895B-784E-A1C3-F555FC3E3E79}"/>
    <dgm:cxn modelId="{62AB3073-0A81-4D9B-9017-B8E10C0CA719}" type="presOf" srcId="{F66467E1-F040-6648-A13D-80A39FCC6CBB}" destId="{85BC5C0B-D927-744E-8556-6D595C874EAA}" srcOrd="1" destOrd="0" presId="urn:microsoft.com/office/officeart/2005/8/layout/hierarchy3"/>
    <dgm:cxn modelId="{1F8EAB5A-73CA-49CB-BFEB-85D6B52E4157}" type="presOf" srcId="{CBFDC2CD-8594-FA46-8340-99EF9474DBD3}" destId="{953946FD-9CD1-5245-82CA-4D3E8B2810D7}" srcOrd="0" destOrd="0" presId="urn:microsoft.com/office/officeart/2005/8/layout/hierarchy3"/>
    <dgm:cxn modelId="{4FBC6D7C-D368-408F-8BFF-B90E450A56ED}" type="presOf" srcId="{DD2270D8-8BBA-CD4B-A3D1-9C9E940A6593}" destId="{B86C1A37-6E65-8441-BF3B-1DF54BDA0346}" srcOrd="1" destOrd="0" presId="urn:microsoft.com/office/officeart/2005/8/layout/hierarchy3"/>
    <dgm:cxn modelId="{6A6DB380-DA64-DD47-B849-D6A297E54F2C}" srcId="{F66467E1-F040-6648-A13D-80A39FCC6CBB}" destId="{EA7FAF38-BE12-FC47-9EDD-64416285BCBA}" srcOrd="1" destOrd="0" parTransId="{4D4A4064-35FA-3345-858D-B8AB5BEAA4C7}" sibTransId="{FF4852B4-C657-CF4D-AD73-A7A8D9974C06}"/>
    <dgm:cxn modelId="{4BFE4C84-6A52-8B4D-98C0-877ECF7FD7B6}" srcId="{4BB98C1E-E84C-4F43-BC0C-6574F50DEDBA}" destId="{55C584ED-489A-8842-B658-CD677061A160}" srcOrd="2" destOrd="0" parTransId="{F81200F1-D020-E84B-B3C6-36A6B1857DA4}" sibTransId="{BF238F28-80C3-354A-9680-CE9B98FC7BAE}"/>
    <dgm:cxn modelId="{AC585D88-93EE-9245-AC35-7E79C2A1F6F7}" srcId="{DA99884C-BDB7-F040-8870-3EF33B3ADFDA}" destId="{4BB98C1E-E84C-4F43-BC0C-6574F50DEDBA}" srcOrd="3" destOrd="0" parTransId="{DF66FCC7-E4EF-CF49-8DC9-956C93CD8135}" sibTransId="{27B1F5F0-E784-1043-8DC9-C2D1D4EE2FC1}"/>
    <dgm:cxn modelId="{5DD4EC91-DAAA-5047-82AE-89DA1BF51941}" srcId="{DA99884C-BDB7-F040-8870-3EF33B3ADFDA}" destId="{73DC87BC-731B-0F4B-840E-0E85AB916A42}" srcOrd="0" destOrd="0" parTransId="{09ABB906-E442-1F43-90AF-9D75836E6B94}" sibTransId="{058E70BB-6AF2-B04C-AB42-4073360C17E9}"/>
    <dgm:cxn modelId="{8E67249D-3D9B-4FE6-8A70-085763DDD19C}" type="presOf" srcId="{0AC1BA66-2944-3B45-A613-D867D63DE924}" destId="{53ABA24F-D469-E941-B4EE-333594E1C257}" srcOrd="0" destOrd="0" presId="urn:microsoft.com/office/officeart/2005/8/layout/hierarchy3"/>
    <dgm:cxn modelId="{543E2D9F-1458-44F0-B110-2B4305429E71}" type="presOf" srcId="{F81200F1-D020-E84B-B3C6-36A6B1857DA4}" destId="{2EC40B24-4A93-2542-837D-F119DBD1115C}" srcOrd="0" destOrd="0" presId="urn:microsoft.com/office/officeart/2005/8/layout/hierarchy3"/>
    <dgm:cxn modelId="{FDE327A0-62AE-42F7-9EA8-DC35EF769920}" type="presOf" srcId="{DD2270D8-8BBA-CD4B-A3D1-9C9E940A6593}" destId="{C6B895C4-25B2-A341-9E84-7AC5BAD63AF1}" srcOrd="0" destOrd="0" presId="urn:microsoft.com/office/officeart/2005/8/layout/hierarchy3"/>
    <dgm:cxn modelId="{B322AAA0-6D8D-401B-81D3-272940D0490D}" type="presOf" srcId="{6DB1BFD9-725D-C24B-8D9A-68E9F655DF65}" destId="{A8107386-2CD3-F445-9863-631B568A5538}" srcOrd="0" destOrd="0" presId="urn:microsoft.com/office/officeart/2005/8/layout/hierarchy3"/>
    <dgm:cxn modelId="{195B68A2-BDB0-6945-8153-D13487F97A4F}" srcId="{73DC87BC-731B-0F4B-840E-0E85AB916A42}" destId="{D44840FB-E555-094B-AC9D-391EFE2B3271}" srcOrd="0" destOrd="0" parTransId="{B92A730B-E5CC-3048-A1DC-9D0BD342CC4B}" sibTransId="{4C671827-2999-4F4A-9E6D-4A9571AD193E}"/>
    <dgm:cxn modelId="{3C0F4BB1-C470-4CCF-B475-FE3B6F0CDA0E}" type="presOf" srcId="{7E1B9248-3037-5941-9228-BF478F6042D5}" destId="{27191425-0688-8548-AD09-61BF707E4C75}" srcOrd="0" destOrd="0" presId="urn:microsoft.com/office/officeart/2005/8/layout/hierarchy3"/>
    <dgm:cxn modelId="{1C28D0B3-5979-42FE-BCBA-0A971F82B55E}" type="presOf" srcId="{6EF494BE-8DB3-5D4D-AF66-11C6DD27AAE7}" destId="{210E00FC-DE0B-3C41-B774-0C67AA3AAFF2}" srcOrd="0" destOrd="0" presId="urn:microsoft.com/office/officeart/2005/8/layout/hierarchy3"/>
    <dgm:cxn modelId="{10C716BA-9CE1-8540-9B19-CBE5D50A999F}" srcId="{DD2270D8-8BBA-CD4B-A3D1-9C9E940A6593}" destId="{0D1235A8-6955-A34B-A51B-0CB8808FA496}" srcOrd="1" destOrd="0" parTransId="{0E3E7BF8-F332-8F46-8D87-ED1D276065AD}" sibTransId="{E03E0018-D727-8644-A630-70200B0B10E3}"/>
    <dgm:cxn modelId="{ABB540C4-9C87-6245-B3F6-BFEB8EBAD1A9}" srcId="{DD2270D8-8BBA-CD4B-A3D1-9C9E940A6593}" destId="{77229A55-AB63-2244-A246-21E5CB7D02D4}" srcOrd="0" destOrd="0" parTransId="{7E1B9248-3037-5941-9228-BF478F6042D5}" sibTransId="{BD737CEF-407A-8F4B-9CC8-E1D4502C8767}"/>
    <dgm:cxn modelId="{4C3692C5-5E87-4A6A-A273-46096FC99289}" type="presOf" srcId="{77229A55-AB63-2244-A246-21E5CB7D02D4}" destId="{053B707F-9771-5E47-B25F-7D1C4B6EDD54}" srcOrd="0" destOrd="0" presId="urn:microsoft.com/office/officeart/2005/8/layout/hierarchy3"/>
    <dgm:cxn modelId="{600320C9-EDC9-48A1-AB35-EDCB5E960C77}" type="presOf" srcId="{D6B80FE4-0100-9540-9632-C1F24FE59CFF}" destId="{EC14940E-4E7A-F240-B82E-8BA352FD7A2D}" srcOrd="0" destOrd="0" presId="urn:microsoft.com/office/officeart/2005/8/layout/hierarchy3"/>
    <dgm:cxn modelId="{CCA041CA-C1C8-44C3-BCA5-49C9BD76B782}" type="presOf" srcId="{55C584ED-489A-8842-B658-CD677061A160}" destId="{A30582DE-11C5-6A45-8088-359BB20A7AA2}" srcOrd="0" destOrd="0" presId="urn:microsoft.com/office/officeart/2005/8/layout/hierarchy3"/>
    <dgm:cxn modelId="{3FCED0CE-8C08-4FAC-95B6-D242A0020EDB}" type="presOf" srcId="{05FD98B7-EE50-AD44-ABF1-E9152599BA09}" destId="{6CC40A59-CA41-7041-A25E-6D826D3DFA7D}" srcOrd="0" destOrd="0" presId="urn:microsoft.com/office/officeart/2005/8/layout/hierarchy3"/>
    <dgm:cxn modelId="{CE071DD1-040E-4101-9042-43C1FB5E69E3}" type="presOf" srcId="{93A22588-5175-9949-BFE0-9BD981EF674F}" destId="{FD2370B7-7034-5C47-83C0-D89406438F7E}" srcOrd="0" destOrd="0" presId="urn:microsoft.com/office/officeart/2005/8/layout/hierarchy3"/>
    <dgm:cxn modelId="{66A2F7D1-FF8D-48E9-9578-869EB0AB90D3}" type="presOf" srcId="{B92A730B-E5CC-3048-A1DC-9D0BD342CC4B}" destId="{6448DB31-6443-BC4F-9443-0310E6247F41}" srcOrd="0" destOrd="0" presId="urn:microsoft.com/office/officeart/2005/8/layout/hierarchy3"/>
    <dgm:cxn modelId="{96F17DD3-CAC9-2147-BBBA-CDC8723D26F3}" srcId="{DD2270D8-8BBA-CD4B-A3D1-9C9E940A6593}" destId="{05FD98B7-EE50-AD44-ABF1-E9152599BA09}" srcOrd="2" destOrd="0" parTransId="{5F82353C-8012-A241-BD09-605807DE2999}" sibTransId="{458F2EA0-83DC-D84B-9F99-06FCE097BC84}"/>
    <dgm:cxn modelId="{BA35D4D5-11AE-4EF5-AEBB-2E4F87AD6E95}" type="presOf" srcId="{4BB98C1E-E84C-4F43-BC0C-6574F50DEDBA}" destId="{288F5459-113B-D243-918C-3258A318A3F7}" srcOrd="0" destOrd="0" presId="urn:microsoft.com/office/officeart/2005/8/layout/hierarchy3"/>
    <dgm:cxn modelId="{A95D9CD7-0AFD-48B0-9014-3BBA9BF4006F}" type="presOf" srcId="{FAD78B72-BE47-B047-87BA-FFDB44765275}" destId="{45E4FD74-13B5-0448-A544-4A9DE8FBDF22}" srcOrd="0" destOrd="0" presId="urn:microsoft.com/office/officeart/2005/8/layout/hierarchy3"/>
    <dgm:cxn modelId="{203621D8-69DE-4BB1-9419-70DF986878E6}" type="presOf" srcId="{73DC87BC-731B-0F4B-840E-0E85AB916A42}" destId="{C186699F-A637-8A4A-9D5B-99869867B028}" srcOrd="1" destOrd="0" presId="urn:microsoft.com/office/officeart/2005/8/layout/hierarchy3"/>
    <dgm:cxn modelId="{CEFC14DA-36C0-4269-94D7-D24E2A6E6C9A}" type="presOf" srcId="{0E3E7BF8-F332-8F46-8D87-ED1D276065AD}" destId="{3ED71A74-AEFA-714F-9D1C-44EAEBD5E738}" srcOrd="0" destOrd="0" presId="urn:microsoft.com/office/officeart/2005/8/layout/hierarchy3"/>
    <dgm:cxn modelId="{5B0932E3-9730-A74B-B4CD-F7DCE668D1D9}" srcId="{DA99884C-BDB7-F040-8870-3EF33B3ADFDA}" destId="{DD2270D8-8BBA-CD4B-A3D1-9C9E940A6593}" srcOrd="1" destOrd="0" parTransId="{CFA80505-39C6-F847-AF92-938F71A4299A}" sibTransId="{D9B80B83-5166-964C-8C12-A2931D03D3B0}"/>
    <dgm:cxn modelId="{B2C0E0E7-F68A-1C4C-BC4A-EA5A75B088C8}" srcId="{4BB98C1E-E84C-4F43-BC0C-6574F50DEDBA}" destId="{CBFDC2CD-8594-FA46-8340-99EF9474DBD3}" srcOrd="1" destOrd="0" parTransId="{958FEB74-330B-E646-B05E-43F3F8027A26}" sibTransId="{BE5A822B-768B-0B42-859E-CD0E9EC90843}"/>
    <dgm:cxn modelId="{E3C122E9-76A5-4179-8B73-A26E7033469C}" type="presOf" srcId="{4D4A4064-35FA-3345-858D-B8AB5BEAA4C7}" destId="{BBFC8132-987B-3A48-9C3B-AD8E3DCAB7B1}" srcOrd="0" destOrd="0" presId="urn:microsoft.com/office/officeart/2005/8/layout/hierarchy3"/>
    <dgm:cxn modelId="{D40FB2E9-7DD1-437D-B15B-A280BB546BAE}" type="presOf" srcId="{79D9DF54-5F39-4247-8013-8CE72C5E68C4}" destId="{A0CC4F17-F1A8-E145-8F53-01FBC5BDEE15}" srcOrd="0" destOrd="0" presId="urn:microsoft.com/office/officeart/2005/8/layout/hierarchy3"/>
    <dgm:cxn modelId="{528296F3-09E3-054D-B005-9BE899A52D28}" srcId="{DD2270D8-8BBA-CD4B-A3D1-9C9E940A6593}" destId="{BF9598EE-FFFA-1C4F-A3A1-B170881B9FF1}" srcOrd="3" destOrd="0" parTransId="{C3AC9860-8E67-9F43-ACC6-972DD2EC422C}" sibTransId="{235D4A8E-AEAD-F84E-8AF5-AFFDB52DB11F}"/>
    <dgm:cxn modelId="{82F7BDF5-2B53-41D6-9F9E-790B27621F2D}" type="presOf" srcId="{0D1235A8-6955-A34B-A51B-0CB8808FA496}" destId="{29D22DCD-1032-8548-9258-EFA54B035482}" srcOrd="0" destOrd="0" presId="urn:microsoft.com/office/officeart/2005/8/layout/hierarchy3"/>
    <dgm:cxn modelId="{4A4079F9-B525-499F-89C0-2C139513C85E}" type="presOf" srcId="{EA7FAF38-BE12-FC47-9EDD-64416285BCBA}" destId="{480400DB-1204-0145-A25C-1540B13D425C}" srcOrd="0" destOrd="0" presId="urn:microsoft.com/office/officeart/2005/8/layout/hierarchy3"/>
    <dgm:cxn modelId="{68F2B6FC-2E44-1743-A3E0-264C0D2B5098}" srcId="{73DC87BC-731B-0F4B-840E-0E85AB916A42}" destId="{FAD78B72-BE47-B047-87BA-FFDB44765275}" srcOrd="1" destOrd="0" parTransId="{93A22588-5175-9949-BFE0-9BD981EF674F}" sibTransId="{7E78769A-D9D4-704C-AD0A-BEEDF9074585}"/>
    <dgm:cxn modelId="{8E1331FE-7E2D-C947-A622-A1384F7281A5}" srcId="{DA99884C-BDB7-F040-8870-3EF33B3ADFDA}" destId="{F66467E1-F040-6648-A13D-80A39FCC6CBB}" srcOrd="2" destOrd="0" parTransId="{8A97F27E-EE88-BB40-A1B0-F0E2C8EED882}" sibTransId="{B593E94E-9271-C24D-80B4-5243A4253281}"/>
    <dgm:cxn modelId="{8798152E-73B1-47DC-A7CB-2EBF88C7CCB3}" type="presParOf" srcId="{A729BD5A-0EBF-F144-86F1-1CC3319754D5}" destId="{7A8BDC75-99D8-6548-8899-F238ACCEC7AB}" srcOrd="0" destOrd="0" presId="urn:microsoft.com/office/officeart/2005/8/layout/hierarchy3"/>
    <dgm:cxn modelId="{228AE3D7-3C61-4447-9B08-80E7BAF25F5E}" type="presParOf" srcId="{7A8BDC75-99D8-6548-8899-F238ACCEC7AB}" destId="{AA83D86B-6FB4-5B4A-845B-853B3B57B316}" srcOrd="0" destOrd="0" presId="urn:microsoft.com/office/officeart/2005/8/layout/hierarchy3"/>
    <dgm:cxn modelId="{9BF48BBF-9D3C-4685-B08B-F56FD4F08F9F}" type="presParOf" srcId="{AA83D86B-6FB4-5B4A-845B-853B3B57B316}" destId="{DF9B6FA5-EF20-4B46-B8CC-B88C3C33419B}" srcOrd="0" destOrd="0" presId="urn:microsoft.com/office/officeart/2005/8/layout/hierarchy3"/>
    <dgm:cxn modelId="{D15E56B8-55C9-4F0D-BC83-D79910309509}" type="presParOf" srcId="{AA83D86B-6FB4-5B4A-845B-853B3B57B316}" destId="{C186699F-A637-8A4A-9D5B-99869867B028}" srcOrd="1" destOrd="0" presId="urn:microsoft.com/office/officeart/2005/8/layout/hierarchy3"/>
    <dgm:cxn modelId="{AF6E3144-2649-4D71-B947-D4E0FEA24E2E}" type="presParOf" srcId="{7A8BDC75-99D8-6548-8899-F238ACCEC7AB}" destId="{15B24AF5-454E-D94A-8054-597B89CF5265}" srcOrd="1" destOrd="0" presId="urn:microsoft.com/office/officeart/2005/8/layout/hierarchy3"/>
    <dgm:cxn modelId="{213FC864-A0C6-45A3-925F-0473D122C22B}" type="presParOf" srcId="{15B24AF5-454E-D94A-8054-597B89CF5265}" destId="{6448DB31-6443-BC4F-9443-0310E6247F41}" srcOrd="0" destOrd="0" presId="urn:microsoft.com/office/officeart/2005/8/layout/hierarchy3"/>
    <dgm:cxn modelId="{609AC780-A21F-441A-BB8B-E786A26E00A9}" type="presParOf" srcId="{15B24AF5-454E-D94A-8054-597B89CF5265}" destId="{7C9A3FDC-E55A-CE46-9E72-7D584398577B}" srcOrd="1" destOrd="0" presId="urn:microsoft.com/office/officeart/2005/8/layout/hierarchy3"/>
    <dgm:cxn modelId="{113FD52C-9274-4805-A1FF-3A6CCB645FA9}" type="presParOf" srcId="{15B24AF5-454E-D94A-8054-597B89CF5265}" destId="{FD2370B7-7034-5C47-83C0-D89406438F7E}" srcOrd="2" destOrd="0" presId="urn:microsoft.com/office/officeart/2005/8/layout/hierarchy3"/>
    <dgm:cxn modelId="{E67B7BFC-282B-4C88-99C0-312282BC5899}" type="presParOf" srcId="{15B24AF5-454E-D94A-8054-597B89CF5265}" destId="{45E4FD74-13B5-0448-A544-4A9DE8FBDF22}" srcOrd="3" destOrd="0" presId="urn:microsoft.com/office/officeart/2005/8/layout/hierarchy3"/>
    <dgm:cxn modelId="{CA72F086-E90E-489E-A534-12B164E907FD}" type="presParOf" srcId="{15B24AF5-454E-D94A-8054-597B89CF5265}" destId="{DCCFE17A-8C2D-BB42-BB77-3256EBFD86EE}" srcOrd="4" destOrd="0" presId="urn:microsoft.com/office/officeart/2005/8/layout/hierarchy3"/>
    <dgm:cxn modelId="{607201D1-BC03-487A-B914-B48CBB2A5FE5}" type="presParOf" srcId="{15B24AF5-454E-D94A-8054-597B89CF5265}" destId="{81573FC8-C6AE-8F44-80DA-A2FB3A25C3A1}" srcOrd="5" destOrd="0" presId="urn:microsoft.com/office/officeart/2005/8/layout/hierarchy3"/>
    <dgm:cxn modelId="{3AAAD6FA-6BE1-4AB0-8426-F64A5E76CBF8}" type="presParOf" srcId="{A729BD5A-0EBF-F144-86F1-1CC3319754D5}" destId="{F120E180-2CA6-8F4E-B6C5-B216C4872D34}" srcOrd="1" destOrd="0" presId="urn:microsoft.com/office/officeart/2005/8/layout/hierarchy3"/>
    <dgm:cxn modelId="{BEE8826E-2FAD-4AF2-B24B-169DF1607182}" type="presParOf" srcId="{F120E180-2CA6-8F4E-B6C5-B216C4872D34}" destId="{42087A9E-53BA-474E-9340-1ACAEBF1D511}" srcOrd="0" destOrd="0" presId="urn:microsoft.com/office/officeart/2005/8/layout/hierarchy3"/>
    <dgm:cxn modelId="{D525E34C-B641-44AA-B9CD-D07C18257580}" type="presParOf" srcId="{42087A9E-53BA-474E-9340-1ACAEBF1D511}" destId="{C6B895C4-25B2-A341-9E84-7AC5BAD63AF1}" srcOrd="0" destOrd="0" presId="urn:microsoft.com/office/officeart/2005/8/layout/hierarchy3"/>
    <dgm:cxn modelId="{5786B2B4-638C-4EE7-B8B8-8A773F7A046B}" type="presParOf" srcId="{42087A9E-53BA-474E-9340-1ACAEBF1D511}" destId="{B86C1A37-6E65-8441-BF3B-1DF54BDA0346}" srcOrd="1" destOrd="0" presId="urn:microsoft.com/office/officeart/2005/8/layout/hierarchy3"/>
    <dgm:cxn modelId="{0DF517EC-466C-49F0-9896-0145802A4D6D}" type="presParOf" srcId="{F120E180-2CA6-8F4E-B6C5-B216C4872D34}" destId="{EA147608-AF33-004B-8DF5-B295DECAEDF5}" srcOrd="1" destOrd="0" presId="urn:microsoft.com/office/officeart/2005/8/layout/hierarchy3"/>
    <dgm:cxn modelId="{80D6B966-D6FC-4A34-ACEC-7B3AB6156EAA}" type="presParOf" srcId="{EA147608-AF33-004B-8DF5-B295DECAEDF5}" destId="{27191425-0688-8548-AD09-61BF707E4C75}" srcOrd="0" destOrd="0" presId="urn:microsoft.com/office/officeart/2005/8/layout/hierarchy3"/>
    <dgm:cxn modelId="{D5BBAAC4-D1FD-43C7-A033-671326D970C9}" type="presParOf" srcId="{EA147608-AF33-004B-8DF5-B295DECAEDF5}" destId="{053B707F-9771-5E47-B25F-7D1C4B6EDD54}" srcOrd="1" destOrd="0" presId="urn:microsoft.com/office/officeart/2005/8/layout/hierarchy3"/>
    <dgm:cxn modelId="{8ADF46C1-2ADC-4F99-A8B6-A914550B2552}" type="presParOf" srcId="{EA147608-AF33-004B-8DF5-B295DECAEDF5}" destId="{3ED71A74-AEFA-714F-9D1C-44EAEBD5E738}" srcOrd="2" destOrd="0" presId="urn:microsoft.com/office/officeart/2005/8/layout/hierarchy3"/>
    <dgm:cxn modelId="{D4CD3CCF-8B72-414E-A606-C79C3DF1F978}" type="presParOf" srcId="{EA147608-AF33-004B-8DF5-B295DECAEDF5}" destId="{29D22DCD-1032-8548-9258-EFA54B035482}" srcOrd="3" destOrd="0" presId="urn:microsoft.com/office/officeart/2005/8/layout/hierarchy3"/>
    <dgm:cxn modelId="{9F360AD9-852D-4B8F-868A-0A48457452C6}" type="presParOf" srcId="{EA147608-AF33-004B-8DF5-B295DECAEDF5}" destId="{944FC5F5-E1A0-254A-BC5E-E25EE1761C7B}" srcOrd="4" destOrd="0" presId="urn:microsoft.com/office/officeart/2005/8/layout/hierarchy3"/>
    <dgm:cxn modelId="{B8344703-C12B-4D53-BC2E-853A78DACD16}" type="presParOf" srcId="{EA147608-AF33-004B-8DF5-B295DECAEDF5}" destId="{6CC40A59-CA41-7041-A25E-6D826D3DFA7D}" srcOrd="5" destOrd="0" presId="urn:microsoft.com/office/officeart/2005/8/layout/hierarchy3"/>
    <dgm:cxn modelId="{A25525CF-A3EC-4F30-A147-AC04B31980F5}" type="presParOf" srcId="{EA147608-AF33-004B-8DF5-B295DECAEDF5}" destId="{39EB1B40-1F37-F649-AB77-B615A6DE0B91}" srcOrd="6" destOrd="0" presId="urn:microsoft.com/office/officeart/2005/8/layout/hierarchy3"/>
    <dgm:cxn modelId="{B64EAEBB-68A0-4DF8-9385-A40E7A766D6A}" type="presParOf" srcId="{EA147608-AF33-004B-8DF5-B295DECAEDF5}" destId="{C675D499-B073-6A4B-860D-40D134A7DF5D}" srcOrd="7" destOrd="0" presId="urn:microsoft.com/office/officeart/2005/8/layout/hierarchy3"/>
    <dgm:cxn modelId="{7BC28E3C-C2D6-4A97-B954-93AA39F9DBFB}" type="presParOf" srcId="{A729BD5A-0EBF-F144-86F1-1CC3319754D5}" destId="{79481F94-4347-E942-B359-2B8F5523BD47}" srcOrd="2" destOrd="0" presId="urn:microsoft.com/office/officeart/2005/8/layout/hierarchy3"/>
    <dgm:cxn modelId="{AB3DB588-E8E1-4E09-86AE-2EA22723FBEA}" type="presParOf" srcId="{79481F94-4347-E942-B359-2B8F5523BD47}" destId="{A4C60EA0-5958-494F-A414-152DACB0CE71}" srcOrd="0" destOrd="0" presId="urn:microsoft.com/office/officeart/2005/8/layout/hierarchy3"/>
    <dgm:cxn modelId="{345E8AD2-FA08-42D2-8C8A-36B8976635E3}" type="presParOf" srcId="{A4C60EA0-5958-494F-A414-152DACB0CE71}" destId="{DCFF21FD-E293-E145-8D81-2C4C969B5D03}" srcOrd="0" destOrd="0" presId="urn:microsoft.com/office/officeart/2005/8/layout/hierarchy3"/>
    <dgm:cxn modelId="{2ADD1696-463F-42FA-BCFF-1BF24D3F4755}" type="presParOf" srcId="{A4C60EA0-5958-494F-A414-152DACB0CE71}" destId="{85BC5C0B-D927-744E-8556-6D595C874EAA}" srcOrd="1" destOrd="0" presId="urn:microsoft.com/office/officeart/2005/8/layout/hierarchy3"/>
    <dgm:cxn modelId="{C624A1AE-C116-4A94-B7DF-E5F5C366231B}" type="presParOf" srcId="{79481F94-4347-E942-B359-2B8F5523BD47}" destId="{A3FB0452-42D9-4F4D-A6BB-4E89CCFCC443}" srcOrd="1" destOrd="0" presId="urn:microsoft.com/office/officeart/2005/8/layout/hierarchy3"/>
    <dgm:cxn modelId="{728C5115-1A6B-455E-AE04-21063A511673}" type="presParOf" srcId="{A3FB0452-42D9-4F4D-A6BB-4E89CCFCC443}" destId="{A8107386-2CD3-F445-9863-631B568A5538}" srcOrd="0" destOrd="0" presId="urn:microsoft.com/office/officeart/2005/8/layout/hierarchy3"/>
    <dgm:cxn modelId="{57A47BE7-EEAD-4675-804B-88BE54F56DC9}" type="presParOf" srcId="{A3FB0452-42D9-4F4D-A6BB-4E89CCFCC443}" destId="{3A4E2DAB-110F-A348-AC56-C91512129376}" srcOrd="1" destOrd="0" presId="urn:microsoft.com/office/officeart/2005/8/layout/hierarchy3"/>
    <dgm:cxn modelId="{CF9D2F4B-9A85-434B-9C1C-BDEBF781016F}" type="presParOf" srcId="{A3FB0452-42D9-4F4D-A6BB-4E89CCFCC443}" destId="{BBFC8132-987B-3A48-9C3B-AD8E3DCAB7B1}" srcOrd="2" destOrd="0" presId="urn:microsoft.com/office/officeart/2005/8/layout/hierarchy3"/>
    <dgm:cxn modelId="{B30D1E95-C456-458F-8A5F-172A84AB04B2}" type="presParOf" srcId="{A3FB0452-42D9-4F4D-A6BB-4E89CCFCC443}" destId="{480400DB-1204-0145-A25C-1540B13D425C}" srcOrd="3" destOrd="0" presId="urn:microsoft.com/office/officeart/2005/8/layout/hierarchy3"/>
    <dgm:cxn modelId="{C7584E0F-EC80-48D8-A2A3-CBCFD7B46AD5}" type="presParOf" srcId="{A3FB0452-42D9-4F4D-A6BB-4E89CCFCC443}" destId="{EC14940E-4E7A-F240-B82E-8BA352FD7A2D}" srcOrd="4" destOrd="0" presId="urn:microsoft.com/office/officeart/2005/8/layout/hierarchy3"/>
    <dgm:cxn modelId="{B7A3890D-4519-4C62-B5DE-D7BE13672451}" type="presParOf" srcId="{A3FB0452-42D9-4F4D-A6BB-4E89CCFCC443}" destId="{210E00FC-DE0B-3C41-B774-0C67AA3AAFF2}" srcOrd="5" destOrd="0" presId="urn:microsoft.com/office/officeart/2005/8/layout/hierarchy3"/>
    <dgm:cxn modelId="{ACD9C486-0095-463D-977D-DDF7D5BBCCA2}" type="presParOf" srcId="{A729BD5A-0EBF-F144-86F1-1CC3319754D5}" destId="{43070212-0222-CE41-8C2B-C656AAEDA320}" srcOrd="3" destOrd="0" presId="urn:microsoft.com/office/officeart/2005/8/layout/hierarchy3"/>
    <dgm:cxn modelId="{B53FB537-7B81-4446-9574-40B113F148B8}" type="presParOf" srcId="{43070212-0222-CE41-8C2B-C656AAEDA320}" destId="{DBE837B8-F8BC-F944-9A58-651A05DA5508}" srcOrd="0" destOrd="0" presId="urn:microsoft.com/office/officeart/2005/8/layout/hierarchy3"/>
    <dgm:cxn modelId="{BBCE1C36-FFD5-4204-B5D5-324D76A2E951}" type="presParOf" srcId="{DBE837B8-F8BC-F944-9A58-651A05DA5508}" destId="{288F5459-113B-D243-918C-3258A318A3F7}" srcOrd="0" destOrd="0" presId="urn:microsoft.com/office/officeart/2005/8/layout/hierarchy3"/>
    <dgm:cxn modelId="{02A2267C-093C-4C79-8D52-1E81CD195385}" type="presParOf" srcId="{DBE837B8-F8BC-F944-9A58-651A05DA5508}" destId="{35B9F9D2-CCC3-1E4D-8E7F-8EA5909CC0F1}" srcOrd="1" destOrd="0" presId="urn:microsoft.com/office/officeart/2005/8/layout/hierarchy3"/>
    <dgm:cxn modelId="{E2B3E64F-743B-4138-9264-E606D4917C56}" type="presParOf" srcId="{43070212-0222-CE41-8C2B-C656AAEDA320}" destId="{2A564E56-6B8E-D34E-9CCA-10DCB96C1BF1}" srcOrd="1" destOrd="0" presId="urn:microsoft.com/office/officeart/2005/8/layout/hierarchy3"/>
    <dgm:cxn modelId="{8F14DA16-3F7C-4E1F-80D9-AE7B42BA0A13}" type="presParOf" srcId="{2A564E56-6B8E-D34E-9CCA-10DCB96C1BF1}" destId="{A0CC4F17-F1A8-E145-8F53-01FBC5BDEE15}" srcOrd="0" destOrd="0" presId="urn:microsoft.com/office/officeart/2005/8/layout/hierarchy3"/>
    <dgm:cxn modelId="{1F4D9886-A5AA-4A50-89C5-098DDAC96984}" type="presParOf" srcId="{2A564E56-6B8E-D34E-9CCA-10DCB96C1BF1}" destId="{53ABA24F-D469-E941-B4EE-333594E1C257}" srcOrd="1" destOrd="0" presId="urn:microsoft.com/office/officeart/2005/8/layout/hierarchy3"/>
    <dgm:cxn modelId="{42CEC039-DECE-475B-AB3C-0307E28538D7}" type="presParOf" srcId="{2A564E56-6B8E-D34E-9CCA-10DCB96C1BF1}" destId="{0C8472C6-4323-8C45-BFA7-BBA4C37596C0}" srcOrd="2" destOrd="0" presId="urn:microsoft.com/office/officeart/2005/8/layout/hierarchy3"/>
    <dgm:cxn modelId="{29BE7CB3-2320-485B-8EFE-FE760408A18D}" type="presParOf" srcId="{2A564E56-6B8E-D34E-9CCA-10DCB96C1BF1}" destId="{953946FD-9CD1-5245-82CA-4D3E8B2810D7}" srcOrd="3" destOrd="0" presId="urn:microsoft.com/office/officeart/2005/8/layout/hierarchy3"/>
    <dgm:cxn modelId="{BB0DEB4D-ED87-42F9-8714-C434F7FA7B8A}" type="presParOf" srcId="{2A564E56-6B8E-D34E-9CCA-10DCB96C1BF1}" destId="{2EC40B24-4A93-2542-837D-F119DBD1115C}" srcOrd="4" destOrd="0" presId="urn:microsoft.com/office/officeart/2005/8/layout/hierarchy3"/>
    <dgm:cxn modelId="{2692AFEC-BFD2-4204-94D5-ACB902A719E8}" type="presParOf" srcId="{2A564E56-6B8E-D34E-9CCA-10DCB96C1BF1}" destId="{A30582DE-11C5-6A45-8088-359BB20A7AA2}" srcOrd="5" destOrd="0" presId="urn:microsoft.com/office/officeart/2005/8/layout/hierarchy3"/>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9B6FA5-EF20-4B46-B8CC-B88C3C33419B}">
      <dsp:nvSpPr>
        <dsp:cNvPr id="0" name=""/>
        <dsp:cNvSpPr/>
      </dsp:nvSpPr>
      <dsp:spPr>
        <a:xfrm>
          <a:off x="256325" y="83"/>
          <a:ext cx="995983" cy="49799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b="1" kern="1200">
              <a:solidFill>
                <a:srgbClr val="000000"/>
              </a:solidFill>
              <a:latin typeface="+mj-lt"/>
            </a:rPr>
            <a:t>Community workers</a:t>
          </a:r>
          <a:endParaRPr lang="es-ES" sz="900" b="1" kern="1200">
            <a:solidFill>
              <a:sysClr val="windowText" lastClr="000000"/>
            </a:solidFill>
            <a:latin typeface="+mj-lt"/>
          </a:endParaRPr>
        </a:p>
      </dsp:txBody>
      <dsp:txXfrm>
        <a:off x="270911" y="14669"/>
        <a:ext cx="966811" cy="468819"/>
      </dsp:txXfrm>
    </dsp:sp>
    <dsp:sp modelId="{6448DB31-6443-BC4F-9443-0310E6247F41}">
      <dsp:nvSpPr>
        <dsp:cNvPr id="0" name=""/>
        <dsp:cNvSpPr/>
      </dsp:nvSpPr>
      <dsp:spPr>
        <a:xfrm>
          <a:off x="355923" y="498075"/>
          <a:ext cx="99598" cy="373493"/>
        </a:xfrm>
        <a:custGeom>
          <a:avLst/>
          <a:gdLst/>
          <a:ahLst/>
          <a:cxnLst/>
          <a:rect l="0" t="0" r="0" b="0"/>
          <a:pathLst>
            <a:path>
              <a:moveTo>
                <a:pt x="0" y="0"/>
              </a:moveTo>
              <a:lnTo>
                <a:pt x="0" y="373493"/>
              </a:lnTo>
              <a:lnTo>
                <a:pt x="99598" y="37349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9A3FDC-E55A-CE46-9E72-7D584398577B}">
      <dsp:nvSpPr>
        <dsp:cNvPr id="0" name=""/>
        <dsp:cNvSpPr/>
      </dsp:nvSpPr>
      <dsp:spPr>
        <a:xfrm>
          <a:off x="455521" y="622573"/>
          <a:ext cx="796787" cy="49799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Receive and register the claim</a:t>
          </a:r>
          <a:endParaRPr lang="es-ES" sz="900" kern="1200">
            <a:latin typeface="+mj-lt"/>
          </a:endParaRPr>
        </a:p>
      </dsp:txBody>
      <dsp:txXfrm>
        <a:off x="470107" y="637159"/>
        <a:ext cx="767615" cy="468819"/>
      </dsp:txXfrm>
    </dsp:sp>
    <dsp:sp modelId="{FD2370B7-7034-5C47-83C0-D89406438F7E}">
      <dsp:nvSpPr>
        <dsp:cNvPr id="0" name=""/>
        <dsp:cNvSpPr/>
      </dsp:nvSpPr>
      <dsp:spPr>
        <a:xfrm>
          <a:off x="355923" y="498075"/>
          <a:ext cx="99598" cy="1172957"/>
        </a:xfrm>
        <a:custGeom>
          <a:avLst/>
          <a:gdLst/>
          <a:ahLst/>
          <a:cxnLst/>
          <a:rect l="0" t="0" r="0" b="0"/>
          <a:pathLst>
            <a:path>
              <a:moveTo>
                <a:pt x="0" y="0"/>
              </a:moveTo>
              <a:lnTo>
                <a:pt x="0" y="1172957"/>
              </a:lnTo>
              <a:lnTo>
                <a:pt x="99598" y="117295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5E4FD74-13B5-0448-A544-4A9DE8FBDF22}">
      <dsp:nvSpPr>
        <dsp:cNvPr id="0" name=""/>
        <dsp:cNvSpPr/>
      </dsp:nvSpPr>
      <dsp:spPr>
        <a:xfrm>
          <a:off x="455521" y="1245063"/>
          <a:ext cx="767385" cy="85193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Delivery to person of Gender and Participation (EGP)</a:t>
          </a:r>
          <a:endParaRPr lang="es-ES" sz="900" kern="1200">
            <a:latin typeface="+mj-lt"/>
          </a:endParaRPr>
        </a:p>
      </dsp:txBody>
      <dsp:txXfrm>
        <a:off x="477997" y="1267539"/>
        <a:ext cx="722433" cy="806987"/>
      </dsp:txXfrm>
    </dsp:sp>
    <dsp:sp modelId="{DCCFE17A-8C2D-BB42-BB77-3256EBFD86EE}">
      <dsp:nvSpPr>
        <dsp:cNvPr id="0" name=""/>
        <dsp:cNvSpPr/>
      </dsp:nvSpPr>
      <dsp:spPr>
        <a:xfrm>
          <a:off x="355923" y="498075"/>
          <a:ext cx="370856" cy="2024894"/>
        </a:xfrm>
        <a:custGeom>
          <a:avLst/>
          <a:gdLst/>
          <a:ahLst/>
          <a:cxnLst/>
          <a:rect l="0" t="0" r="0" b="0"/>
          <a:pathLst>
            <a:path>
              <a:moveTo>
                <a:pt x="0" y="0"/>
              </a:moveTo>
              <a:lnTo>
                <a:pt x="0" y="2024894"/>
              </a:lnTo>
              <a:lnTo>
                <a:pt x="370856" y="202489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1573FC8-C6AE-8F44-80DA-A2FB3A25C3A1}">
      <dsp:nvSpPr>
        <dsp:cNvPr id="0" name=""/>
        <dsp:cNvSpPr/>
      </dsp:nvSpPr>
      <dsp:spPr>
        <a:xfrm>
          <a:off x="726780" y="2273974"/>
          <a:ext cx="796787" cy="497991"/>
        </a:xfrm>
        <a:prstGeom prst="curvedUpArrow">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endParaRPr lang="es-ES" sz="900" kern="1200">
            <a:latin typeface="+mj-lt"/>
          </a:endParaRPr>
        </a:p>
        <a:p>
          <a:pPr marL="0" lvl="0" indent="0" algn="ctr" defTabSz="400050">
            <a:lnSpc>
              <a:spcPct val="90000"/>
            </a:lnSpc>
            <a:spcBef>
              <a:spcPct val="0"/>
            </a:spcBef>
            <a:spcAft>
              <a:spcPct val="35000"/>
            </a:spcAft>
            <a:buNone/>
          </a:pPr>
          <a:endParaRPr lang="es-ES" sz="900" kern="1200">
            <a:latin typeface="+mj-lt"/>
          </a:endParaRPr>
        </a:p>
      </dsp:txBody>
      <dsp:txXfrm>
        <a:off x="726780" y="2273974"/>
        <a:ext cx="796787" cy="497991"/>
      </dsp:txXfrm>
    </dsp:sp>
    <dsp:sp modelId="{C6B895C4-25B2-A341-9E84-7AC5BAD63AF1}">
      <dsp:nvSpPr>
        <dsp:cNvPr id="0" name=""/>
        <dsp:cNvSpPr/>
      </dsp:nvSpPr>
      <dsp:spPr>
        <a:xfrm>
          <a:off x="1501304" y="83"/>
          <a:ext cx="995983" cy="49799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s-ES" sz="900" b="1" kern="1200">
              <a:solidFill>
                <a:srgbClr val="000000"/>
              </a:solidFill>
              <a:latin typeface="+mj-lt"/>
            </a:rPr>
            <a:t>EGP (project team)</a:t>
          </a:r>
        </a:p>
      </dsp:txBody>
      <dsp:txXfrm>
        <a:off x="1515890" y="14669"/>
        <a:ext cx="966811" cy="468819"/>
      </dsp:txXfrm>
    </dsp:sp>
    <dsp:sp modelId="{27191425-0688-8548-AD09-61BF707E4C75}">
      <dsp:nvSpPr>
        <dsp:cNvPr id="0" name=""/>
        <dsp:cNvSpPr/>
      </dsp:nvSpPr>
      <dsp:spPr>
        <a:xfrm>
          <a:off x="1600903" y="498075"/>
          <a:ext cx="99598" cy="373493"/>
        </a:xfrm>
        <a:custGeom>
          <a:avLst/>
          <a:gdLst/>
          <a:ahLst/>
          <a:cxnLst/>
          <a:rect l="0" t="0" r="0" b="0"/>
          <a:pathLst>
            <a:path>
              <a:moveTo>
                <a:pt x="0" y="0"/>
              </a:moveTo>
              <a:lnTo>
                <a:pt x="0" y="373493"/>
              </a:lnTo>
              <a:lnTo>
                <a:pt x="99598" y="37349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53B707F-9771-5E47-B25F-7D1C4B6EDD54}">
      <dsp:nvSpPr>
        <dsp:cNvPr id="0" name=""/>
        <dsp:cNvSpPr/>
      </dsp:nvSpPr>
      <dsp:spPr>
        <a:xfrm>
          <a:off x="1700501" y="622573"/>
          <a:ext cx="824212" cy="49799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Register, evaluate, and if possible, solve.</a:t>
          </a:r>
          <a:endParaRPr lang="es-ES" sz="900" kern="1200">
            <a:latin typeface="+mj-lt"/>
          </a:endParaRPr>
        </a:p>
      </dsp:txBody>
      <dsp:txXfrm>
        <a:off x="1715087" y="637159"/>
        <a:ext cx="795040" cy="468819"/>
      </dsp:txXfrm>
    </dsp:sp>
    <dsp:sp modelId="{3ED71A74-AEFA-714F-9D1C-44EAEBD5E738}">
      <dsp:nvSpPr>
        <dsp:cNvPr id="0" name=""/>
        <dsp:cNvSpPr/>
      </dsp:nvSpPr>
      <dsp:spPr>
        <a:xfrm>
          <a:off x="1600903" y="498075"/>
          <a:ext cx="99598" cy="1075772"/>
        </a:xfrm>
        <a:custGeom>
          <a:avLst/>
          <a:gdLst/>
          <a:ahLst/>
          <a:cxnLst/>
          <a:rect l="0" t="0" r="0" b="0"/>
          <a:pathLst>
            <a:path>
              <a:moveTo>
                <a:pt x="0" y="0"/>
              </a:moveTo>
              <a:lnTo>
                <a:pt x="0" y="1075772"/>
              </a:lnTo>
              <a:lnTo>
                <a:pt x="99598" y="107577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D22DCD-1032-8548-9258-EFA54B035482}">
      <dsp:nvSpPr>
        <dsp:cNvPr id="0" name=""/>
        <dsp:cNvSpPr/>
      </dsp:nvSpPr>
      <dsp:spPr>
        <a:xfrm>
          <a:off x="1700501" y="1245063"/>
          <a:ext cx="916352" cy="65756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If not resolved, claim is transferred to binational Coordinator</a:t>
          </a:r>
          <a:endParaRPr lang="es-ES" sz="900" kern="1200">
            <a:latin typeface="+mj-lt"/>
          </a:endParaRPr>
        </a:p>
      </dsp:txBody>
      <dsp:txXfrm>
        <a:off x="1719761" y="1264323"/>
        <a:ext cx="877832" cy="619048"/>
      </dsp:txXfrm>
    </dsp:sp>
    <dsp:sp modelId="{944FC5F5-E1A0-254A-BC5E-E25EE1761C7B}">
      <dsp:nvSpPr>
        <dsp:cNvPr id="0" name=""/>
        <dsp:cNvSpPr/>
      </dsp:nvSpPr>
      <dsp:spPr>
        <a:xfrm>
          <a:off x="1600903" y="498075"/>
          <a:ext cx="369964" cy="1670947"/>
        </a:xfrm>
        <a:custGeom>
          <a:avLst/>
          <a:gdLst/>
          <a:ahLst/>
          <a:cxnLst/>
          <a:rect l="0" t="0" r="0" b="0"/>
          <a:pathLst>
            <a:path>
              <a:moveTo>
                <a:pt x="0" y="0"/>
              </a:moveTo>
              <a:lnTo>
                <a:pt x="0" y="1670947"/>
              </a:lnTo>
              <a:lnTo>
                <a:pt x="369964" y="16709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CC40A59-CA41-7041-A25E-6D826D3DFA7D}">
      <dsp:nvSpPr>
        <dsp:cNvPr id="0" name=""/>
        <dsp:cNvSpPr/>
      </dsp:nvSpPr>
      <dsp:spPr>
        <a:xfrm>
          <a:off x="1970867" y="1920026"/>
          <a:ext cx="796787" cy="497991"/>
        </a:xfrm>
        <a:prstGeom prst="curvedUpArrow">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endParaRPr lang="es-ES" sz="900" kern="1200">
            <a:latin typeface="+mj-lt"/>
          </a:endParaRPr>
        </a:p>
      </dsp:txBody>
      <dsp:txXfrm>
        <a:off x="1970867" y="1920026"/>
        <a:ext cx="796787" cy="497991"/>
      </dsp:txXfrm>
    </dsp:sp>
    <dsp:sp modelId="{39EB1B40-1F37-F649-AB77-B615A6DE0B91}">
      <dsp:nvSpPr>
        <dsp:cNvPr id="0" name=""/>
        <dsp:cNvSpPr/>
      </dsp:nvSpPr>
      <dsp:spPr>
        <a:xfrm>
          <a:off x="1600903" y="498075"/>
          <a:ext cx="99598" cy="2400540"/>
        </a:xfrm>
        <a:custGeom>
          <a:avLst/>
          <a:gdLst/>
          <a:ahLst/>
          <a:cxnLst/>
          <a:rect l="0" t="0" r="0" b="0"/>
          <a:pathLst>
            <a:path>
              <a:moveTo>
                <a:pt x="0" y="0"/>
              </a:moveTo>
              <a:lnTo>
                <a:pt x="0" y="2400540"/>
              </a:lnTo>
              <a:lnTo>
                <a:pt x="99598" y="240054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675D499-B073-6A4B-860D-40D134A7DF5D}">
      <dsp:nvSpPr>
        <dsp:cNvPr id="0" name=""/>
        <dsp:cNvSpPr/>
      </dsp:nvSpPr>
      <dsp:spPr>
        <a:xfrm>
          <a:off x="1700501" y="2649619"/>
          <a:ext cx="886943" cy="49799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Monitor all levels and report to the Steering Committee</a:t>
          </a:r>
          <a:endParaRPr lang="es-ES" sz="900" kern="1200">
            <a:latin typeface="+mj-lt"/>
          </a:endParaRPr>
        </a:p>
      </dsp:txBody>
      <dsp:txXfrm>
        <a:off x="1715087" y="2664205"/>
        <a:ext cx="857771" cy="468819"/>
      </dsp:txXfrm>
    </dsp:sp>
    <dsp:sp modelId="{DCFF21FD-E293-E145-8D81-2C4C969B5D03}">
      <dsp:nvSpPr>
        <dsp:cNvPr id="0" name=""/>
        <dsp:cNvSpPr/>
      </dsp:nvSpPr>
      <dsp:spPr>
        <a:xfrm>
          <a:off x="2746284" y="83"/>
          <a:ext cx="995983" cy="49799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b="1" kern="1200">
              <a:solidFill>
                <a:srgbClr val="000000"/>
              </a:solidFill>
              <a:latin typeface="+mj-lt"/>
            </a:rPr>
            <a:t>Binational Coordinator</a:t>
          </a:r>
          <a:endParaRPr lang="es-ES" sz="900" b="1" kern="1200">
            <a:solidFill>
              <a:srgbClr val="000000"/>
            </a:solidFill>
            <a:latin typeface="+mj-lt"/>
          </a:endParaRPr>
        </a:p>
      </dsp:txBody>
      <dsp:txXfrm>
        <a:off x="2760870" y="14669"/>
        <a:ext cx="966811" cy="468819"/>
      </dsp:txXfrm>
    </dsp:sp>
    <dsp:sp modelId="{A8107386-2CD3-F445-9863-631B568A5538}">
      <dsp:nvSpPr>
        <dsp:cNvPr id="0" name=""/>
        <dsp:cNvSpPr/>
      </dsp:nvSpPr>
      <dsp:spPr>
        <a:xfrm>
          <a:off x="2845883" y="498075"/>
          <a:ext cx="99598" cy="372859"/>
        </a:xfrm>
        <a:custGeom>
          <a:avLst/>
          <a:gdLst/>
          <a:ahLst/>
          <a:cxnLst/>
          <a:rect l="0" t="0" r="0" b="0"/>
          <a:pathLst>
            <a:path>
              <a:moveTo>
                <a:pt x="0" y="0"/>
              </a:moveTo>
              <a:lnTo>
                <a:pt x="0" y="372859"/>
              </a:lnTo>
              <a:lnTo>
                <a:pt x="99598" y="37285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A4E2DAB-110F-A348-AC56-C91512129376}">
      <dsp:nvSpPr>
        <dsp:cNvPr id="0" name=""/>
        <dsp:cNvSpPr/>
      </dsp:nvSpPr>
      <dsp:spPr>
        <a:xfrm>
          <a:off x="2945481" y="622573"/>
          <a:ext cx="933260" cy="4967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Evaluate, if possible, solve and report.</a:t>
          </a:r>
          <a:endParaRPr lang="es-ES" sz="900" kern="1200">
            <a:latin typeface="+mj-lt"/>
          </a:endParaRPr>
        </a:p>
      </dsp:txBody>
      <dsp:txXfrm>
        <a:off x="2960029" y="637121"/>
        <a:ext cx="904164" cy="467626"/>
      </dsp:txXfrm>
    </dsp:sp>
    <dsp:sp modelId="{BBFC8132-987B-3A48-9C3B-AD8E3DCAB7B1}">
      <dsp:nvSpPr>
        <dsp:cNvPr id="0" name=""/>
        <dsp:cNvSpPr/>
      </dsp:nvSpPr>
      <dsp:spPr>
        <a:xfrm>
          <a:off x="2845883" y="498075"/>
          <a:ext cx="99598" cy="1057388"/>
        </a:xfrm>
        <a:custGeom>
          <a:avLst/>
          <a:gdLst/>
          <a:ahLst/>
          <a:cxnLst/>
          <a:rect l="0" t="0" r="0" b="0"/>
          <a:pathLst>
            <a:path>
              <a:moveTo>
                <a:pt x="0" y="0"/>
              </a:moveTo>
              <a:lnTo>
                <a:pt x="0" y="1057388"/>
              </a:lnTo>
              <a:lnTo>
                <a:pt x="99598" y="105738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80400DB-1204-0145-A25C-1540B13D425C}">
      <dsp:nvSpPr>
        <dsp:cNvPr id="0" name=""/>
        <dsp:cNvSpPr/>
      </dsp:nvSpPr>
      <dsp:spPr>
        <a:xfrm>
          <a:off x="2945481" y="1243793"/>
          <a:ext cx="940981" cy="62334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If it is not resolved, a claim is transferred to the Board of Directors</a:t>
          </a:r>
          <a:endParaRPr lang="es-ES" sz="900" kern="1200">
            <a:latin typeface="+mj-lt"/>
          </a:endParaRPr>
        </a:p>
      </dsp:txBody>
      <dsp:txXfrm>
        <a:off x="2963738" y="1262050"/>
        <a:ext cx="904467" cy="586827"/>
      </dsp:txXfrm>
    </dsp:sp>
    <dsp:sp modelId="{EC14940E-4E7A-F240-B82E-8BA352FD7A2D}">
      <dsp:nvSpPr>
        <dsp:cNvPr id="0" name=""/>
        <dsp:cNvSpPr/>
      </dsp:nvSpPr>
      <dsp:spPr>
        <a:xfrm>
          <a:off x="2845883" y="498075"/>
          <a:ext cx="382282" cy="1669677"/>
        </a:xfrm>
        <a:custGeom>
          <a:avLst/>
          <a:gdLst/>
          <a:ahLst/>
          <a:cxnLst/>
          <a:rect l="0" t="0" r="0" b="0"/>
          <a:pathLst>
            <a:path>
              <a:moveTo>
                <a:pt x="0" y="0"/>
              </a:moveTo>
              <a:lnTo>
                <a:pt x="0" y="1669677"/>
              </a:lnTo>
              <a:lnTo>
                <a:pt x="382282" y="166967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10E00FC-DE0B-3C41-B774-0C67AA3AAFF2}">
      <dsp:nvSpPr>
        <dsp:cNvPr id="0" name=""/>
        <dsp:cNvSpPr/>
      </dsp:nvSpPr>
      <dsp:spPr>
        <a:xfrm>
          <a:off x="3228165" y="1918756"/>
          <a:ext cx="796787" cy="497991"/>
        </a:xfrm>
        <a:prstGeom prst="curvedUpArrow">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endParaRPr lang="es-ES" sz="900" kern="1200">
            <a:latin typeface="+mj-lt"/>
          </a:endParaRPr>
        </a:p>
      </dsp:txBody>
      <dsp:txXfrm>
        <a:off x="3228165" y="1918756"/>
        <a:ext cx="796787" cy="497991"/>
      </dsp:txXfrm>
    </dsp:sp>
    <dsp:sp modelId="{288F5459-113B-D243-918C-3258A318A3F7}">
      <dsp:nvSpPr>
        <dsp:cNvPr id="0" name=""/>
        <dsp:cNvSpPr/>
      </dsp:nvSpPr>
      <dsp:spPr>
        <a:xfrm>
          <a:off x="3991264" y="83"/>
          <a:ext cx="995983" cy="49799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b="1" kern="1200">
              <a:solidFill>
                <a:srgbClr val="000000"/>
              </a:solidFill>
              <a:latin typeface="+mj-lt"/>
            </a:rPr>
            <a:t>Board of Directors</a:t>
          </a:r>
          <a:endParaRPr lang="es-ES" sz="900" b="1" kern="1200">
            <a:solidFill>
              <a:srgbClr val="000000"/>
            </a:solidFill>
            <a:latin typeface="+mj-lt"/>
          </a:endParaRPr>
        </a:p>
      </dsp:txBody>
      <dsp:txXfrm>
        <a:off x="4005850" y="14669"/>
        <a:ext cx="966811" cy="468819"/>
      </dsp:txXfrm>
    </dsp:sp>
    <dsp:sp modelId="{A0CC4F17-F1A8-E145-8F53-01FBC5BDEE15}">
      <dsp:nvSpPr>
        <dsp:cNvPr id="0" name=""/>
        <dsp:cNvSpPr/>
      </dsp:nvSpPr>
      <dsp:spPr>
        <a:xfrm>
          <a:off x="4090862" y="498075"/>
          <a:ext cx="99598" cy="373493"/>
        </a:xfrm>
        <a:custGeom>
          <a:avLst/>
          <a:gdLst/>
          <a:ahLst/>
          <a:cxnLst/>
          <a:rect l="0" t="0" r="0" b="0"/>
          <a:pathLst>
            <a:path>
              <a:moveTo>
                <a:pt x="0" y="0"/>
              </a:moveTo>
              <a:lnTo>
                <a:pt x="0" y="373493"/>
              </a:lnTo>
              <a:lnTo>
                <a:pt x="99598" y="37349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3ABA24F-D469-E941-B4EE-333594E1C257}">
      <dsp:nvSpPr>
        <dsp:cNvPr id="0" name=""/>
        <dsp:cNvSpPr/>
      </dsp:nvSpPr>
      <dsp:spPr>
        <a:xfrm>
          <a:off x="4190461" y="622573"/>
          <a:ext cx="873493" cy="49799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Activate the claims repair committee (CRR)</a:t>
          </a:r>
          <a:endParaRPr lang="es-ES" sz="900" kern="1200">
            <a:latin typeface="+mj-lt"/>
          </a:endParaRPr>
        </a:p>
      </dsp:txBody>
      <dsp:txXfrm>
        <a:off x="4205047" y="637159"/>
        <a:ext cx="844321" cy="468819"/>
      </dsp:txXfrm>
    </dsp:sp>
    <dsp:sp modelId="{0C8472C6-4323-8C45-BFA7-BBA4C37596C0}">
      <dsp:nvSpPr>
        <dsp:cNvPr id="0" name=""/>
        <dsp:cNvSpPr/>
      </dsp:nvSpPr>
      <dsp:spPr>
        <a:xfrm>
          <a:off x="4090862" y="498075"/>
          <a:ext cx="99598" cy="995983"/>
        </a:xfrm>
        <a:custGeom>
          <a:avLst/>
          <a:gdLst/>
          <a:ahLst/>
          <a:cxnLst/>
          <a:rect l="0" t="0" r="0" b="0"/>
          <a:pathLst>
            <a:path>
              <a:moveTo>
                <a:pt x="0" y="0"/>
              </a:moveTo>
              <a:lnTo>
                <a:pt x="0" y="995983"/>
              </a:lnTo>
              <a:lnTo>
                <a:pt x="99598" y="99598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53946FD-9CD1-5245-82CA-4D3E8B2810D7}">
      <dsp:nvSpPr>
        <dsp:cNvPr id="0" name=""/>
        <dsp:cNvSpPr/>
      </dsp:nvSpPr>
      <dsp:spPr>
        <a:xfrm>
          <a:off x="4190461" y="1245063"/>
          <a:ext cx="796787" cy="49799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Evaluate and answer and solve</a:t>
          </a:r>
          <a:endParaRPr lang="es-ES" sz="900" kern="1200">
            <a:latin typeface="+mj-lt"/>
          </a:endParaRPr>
        </a:p>
      </dsp:txBody>
      <dsp:txXfrm>
        <a:off x="4205047" y="1259649"/>
        <a:ext cx="767615" cy="468819"/>
      </dsp:txXfrm>
    </dsp:sp>
    <dsp:sp modelId="{2EC40B24-4A93-2542-837D-F119DBD1115C}">
      <dsp:nvSpPr>
        <dsp:cNvPr id="0" name=""/>
        <dsp:cNvSpPr/>
      </dsp:nvSpPr>
      <dsp:spPr>
        <a:xfrm>
          <a:off x="4090862" y="498075"/>
          <a:ext cx="99598" cy="1732775"/>
        </a:xfrm>
        <a:custGeom>
          <a:avLst/>
          <a:gdLst/>
          <a:ahLst/>
          <a:cxnLst/>
          <a:rect l="0" t="0" r="0" b="0"/>
          <a:pathLst>
            <a:path>
              <a:moveTo>
                <a:pt x="0" y="0"/>
              </a:moveTo>
              <a:lnTo>
                <a:pt x="0" y="1732775"/>
              </a:lnTo>
              <a:lnTo>
                <a:pt x="99598" y="173277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30582DE-11C5-6A45-8088-359BB20A7AA2}">
      <dsp:nvSpPr>
        <dsp:cNvPr id="0" name=""/>
        <dsp:cNvSpPr/>
      </dsp:nvSpPr>
      <dsp:spPr>
        <a:xfrm>
          <a:off x="4190461" y="1867553"/>
          <a:ext cx="949443" cy="72659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Periodically monitor all existing claims cases</a:t>
          </a:r>
          <a:endParaRPr lang="es-ES" sz="900" kern="1200">
            <a:latin typeface="+mj-lt"/>
          </a:endParaRPr>
        </a:p>
      </dsp:txBody>
      <dsp:txXfrm>
        <a:off x="4211742" y="1888834"/>
        <a:ext cx="906881" cy="68403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5753 Annex 07</DocumentTitle>
  </documentManagement>
</p:properties>
</file>

<file path=customXml/itemProps1.xml><?xml version="1.0" encoding="utf-8"?>
<ds:datastoreItem xmlns:ds="http://schemas.openxmlformats.org/officeDocument/2006/customXml" ds:itemID="{03F7D74A-2901-4BC9-BA8A-17F85B0EDD65}">
  <ds:schemaRefs>
    <ds:schemaRef ds:uri="http://schemas.openxmlformats.org/officeDocument/2006/bibliography"/>
  </ds:schemaRefs>
</ds:datastoreItem>
</file>

<file path=customXml/itemProps2.xml><?xml version="1.0" encoding="utf-8"?>
<ds:datastoreItem xmlns:ds="http://schemas.openxmlformats.org/officeDocument/2006/customXml" ds:itemID="{6B67FD87-273C-4F5E-BACC-AF0B9277E2FD}"/>
</file>

<file path=customXml/itemProps3.xml><?xml version="1.0" encoding="utf-8"?>
<ds:datastoreItem xmlns:ds="http://schemas.openxmlformats.org/officeDocument/2006/customXml" ds:itemID="{9B44725A-CE0F-4769-B733-2340E837FE4B}"/>
</file>

<file path=customXml/itemProps4.xml><?xml version="1.0" encoding="utf-8"?>
<ds:datastoreItem xmlns:ds="http://schemas.openxmlformats.org/officeDocument/2006/customXml" ds:itemID="{29F4D507-1F8D-4BF7-BE0B-2F659E838958}"/>
</file>

<file path=docProps/app.xml><?xml version="1.0" encoding="utf-8"?>
<Properties xmlns="http://schemas.openxmlformats.org/officeDocument/2006/extended-properties" xmlns:vt="http://schemas.openxmlformats.org/officeDocument/2006/docPropsVTypes">
  <Template>Normal.dotm</Template>
  <TotalTime>0</TotalTime>
  <Pages>51</Pages>
  <Words>19479</Words>
  <Characters>111033</Characters>
  <Application>Microsoft Office Word</Application>
  <DocSecurity>0</DocSecurity>
  <Lines>925</Lines>
  <Paragraphs>260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Cengic</dc:creator>
  <cp:keywords/>
  <dc:description/>
  <cp:lastModifiedBy>Carline Jean-Louis</cp:lastModifiedBy>
  <cp:revision>2</cp:revision>
  <dcterms:created xsi:type="dcterms:W3CDTF">2019-05-16T18:49:00Z</dcterms:created>
  <dcterms:modified xsi:type="dcterms:W3CDTF">2019-05-16T18:49:00Z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